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0E" w:rsidRPr="00ED0EC5" w:rsidRDefault="00E95C0E" w:rsidP="005E6C77">
      <w:pPr>
        <w:jc w:val="center"/>
        <w:rPr>
          <w:rFonts w:ascii="Arial" w:hAnsi="Arial" w:cs="Arial"/>
          <w:b/>
          <w:sz w:val="28"/>
        </w:rPr>
      </w:pPr>
      <w:r w:rsidRPr="00ED0EC5">
        <w:rPr>
          <w:rFonts w:ascii="Arial" w:hAnsi="Arial" w:cs="Arial"/>
          <w:b/>
          <w:sz w:val="28"/>
        </w:rPr>
        <w:t>AFFECTIONS THYROIDIENNES AUTO-IMMUNES ET BIOTHERAPIES</w:t>
      </w:r>
    </w:p>
    <w:p w:rsidR="00E95C0E" w:rsidRDefault="00E95C0E" w:rsidP="005E6C77">
      <w:pPr>
        <w:jc w:val="center"/>
        <w:rPr>
          <w:rFonts w:ascii="Arial" w:hAnsi="Arial" w:cs="Arial"/>
          <w:b/>
          <w:sz w:val="28"/>
        </w:rPr>
      </w:pPr>
      <w:r>
        <w:rPr>
          <w:rFonts w:ascii="Arial" w:hAnsi="Arial" w:cs="Arial"/>
          <w:b/>
          <w:sz w:val="28"/>
        </w:rPr>
        <w:t>APPEL À OBSERVATIONS</w:t>
      </w:r>
    </w:p>
    <w:p w:rsidR="00E95C0E" w:rsidRPr="00ED0EC5" w:rsidRDefault="00E95C0E" w:rsidP="00C70A94">
      <w:pPr>
        <w:spacing w:line="480" w:lineRule="auto"/>
        <w:jc w:val="center"/>
        <w:rPr>
          <w:rFonts w:ascii="Arial" w:hAnsi="Arial" w:cs="Arial"/>
          <w:b/>
          <w:i/>
          <w:sz w:val="28"/>
        </w:rPr>
      </w:pPr>
      <w:r w:rsidRPr="00ED0EC5">
        <w:rPr>
          <w:rFonts w:ascii="Arial" w:hAnsi="Arial" w:cs="Arial"/>
          <w:b/>
          <w:i/>
          <w:sz w:val="28"/>
        </w:rPr>
        <w:t>Synopsis</w:t>
      </w:r>
    </w:p>
    <w:p w:rsidR="00E95C0E" w:rsidRPr="00CA27A3" w:rsidRDefault="00E95C0E" w:rsidP="00ED0EC5">
      <w:pPr>
        <w:rPr>
          <w:rFonts w:ascii="Arial" w:hAnsi="Arial" w:cs="Arial"/>
        </w:rPr>
      </w:pPr>
      <w:r w:rsidRPr="00CA27A3">
        <w:rPr>
          <w:rFonts w:ascii="Arial" w:hAnsi="Arial" w:cs="Arial"/>
          <w:b/>
          <w:u w:val="single"/>
        </w:rPr>
        <w:t>Investigateurs :</w:t>
      </w:r>
      <w:r w:rsidRPr="00CA27A3">
        <w:rPr>
          <w:rFonts w:ascii="Arial" w:hAnsi="Arial" w:cs="Arial"/>
        </w:rPr>
        <w:t xml:space="preserve"> </w:t>
      </w:r>
    </w:p>
    <w:p w:rsidR="00E95C0E" w:rsidRPr="005E6C77" w:rsidRDefault="00E95C0E" w:rsidP="005E6C77">
      <w:pPr>
        <w:spacing w:after="0"/>
        <w:jc w:val="both"/>
        <w:rPr>
          <w:rFonts w:ascii="Arial" w:hAnsi="Arial" w:cs="Arial"/>
          <w:b/>
          <w:sz w:val="20"/>
        </w:rPr>
      </w:pPr>
      <w:r w:rsidRPr="005E6C77">
        <w:rPr>
          <w:rFonts w:ascii="Arial" w:hAnsi="Arial" w:cs="Arial"/>
          <w:b/>
          <w:sz w:val="20"/>
        </w:rPr>
        <w:t>Tristan Pascart</w:t>
      </w:r>
    </w:p>
    <w:p w:rsidR="00E95C0E" w:rsidRPr="005E6C77" w:rsidRDefault="00E95C0E" w:rsidP="005E6C77">
      <w:pPr>
        <w:spacing w:after="0"/>
        <w:jc w:val="both"/>
        <w:rPr>
          <w:rFonts w:ascii="Arial" w:hAnsi="Arial" w:cs="Arial"/>
          <w:sz w:val="20"/>
        </w:rPr>
      </w:pPr>
      <w:r>
        <w:rPr>
          <w:rFonts w:ascii="Arial" w:hAnsi="Arial" w:cs="Arial"/>
          <w:sz w:val="20"/>
        </w:rPr>
        <w:t>I</w:t>
      </w:r>
      <w:r w:rsidRPr="005E6C77">
        <w:rPr>
          <w:rFonts w:ascii="Arial" w:hAnsi="Arial" w:cs="Arial"/>
          <w:sz w:val="20"/>
        </w:rPr>
        <w:t>nterne de Rhumatologie Lille</w:t>
      </w:r>
    </w:p>
    <w:p w:rsidR="00E95C0E" w:rsidRDefault="00E95C0E" w:rsidP="0025333E">
      <w:pPr>
        <w:spacing w:after="0"/>
        <w:jc w:val="both"/>
        <w:rPr>
          <w:rFonts w:ascii="Arial" w:hAnsi="Arial" w:cs="Arial"/>
          <w:sz w:val="20"/>
        </w:rPr>
      </w:pPr>
      <w:r w:rsidRPr="005E6C77">
        <w:rPr>
          <w:rFonts w:ascii="Arial" w:hAnsi="Arial" w:cs="Arial"/>
          <w:sz w:val="20"/>
        </w:rPr>
        <w:t xml:space="preserve">Tel : + 33 6 10 79 36 65 </w:t>
      </w:r>
    </w:p>
    <w:p w:rsidR="00E95C0E" w:rsidRDefault="00E95C0E" w:rsidP="0025333E">
      <w:pPr>
        <w:spacing w:after="0"/>
        <w:jc w:val="both"/>
        <w:rPr>
          <w:rFonts w:ascii="Arial" w:hAnsi="Arial" w:cs="Arial"/>
          <w:sz w:val="20"/>
        </w:rPr>
      </w:pPr>
      <w:r w:rsidRPr="005E6C77">
        <w:rPr>
          <w:rFonts w:ascii="Arial" w:hAnsi="Arial" w:cs="Arial"/>
          <w:sz w:val="20"/>
        </w:rPr>
        <w:t xml:space="preserve">email : </w:t>
      </w:r>
      <w:hyperlink r:id="rId7" w:history="1">
        <w:r w:rsidRPr="005E6C77">
          <w:rPr>
            <w:rStyle w:val="Hyperlink"/>
            <w:rFonts w:ascii="Arial" w:hAnsi="Arial" w:cs="Arial"/>
            <w:sz w:val="20"/>
          </w:rPr>
          <w:t>tristan.pascart@hotmail.fr</w:t>
        </w:r>
      </w:hyperlink>
    </w:p>
    <w:p w:rsidR="00E95C0E" w:rsidRPr="005E6C77" w:rsidRDefault="00E95C0E" w:rsidP="0025333E">
      <w:pPr>
        <w:spacing w:after="0"/>
        <w:jc w:val="both"/>
        <w:rPr>
          <w:rFonts w:ascii="Arial" w:hAnsi="Arial" w:cs="Arial"/>
          <w:sz w:val="20"/>
        </w:rPr>
      </w:pPr>
    </w:p>
    <w:p w:rsidR="00E95C0E" w:rsidRPr="005E6C77" w:rsidRDefault="00E95C0E" w:rsidP="005E6C77">
      <w:pPr>
        <w:spacing w:after="0"/>
        <w:jc w:val="both"/>
        <w:rPr>
          <w:rFonts w:ascii="Arial" w:hAnsi="Arial" w:cs="Arial"/>
          <w:b/>
          <w:sz w:val="20"/>
        </w:rPr>
      </w:pPr>
      <w:r w:rsidRPr="005E6C77">
        <w:rPr>
          <w:rFonts w:ascii="Arial" w:hAnsi="Arial" w:cs="Arial"/>
          <w:b/>
          <w:sz w:val="20"/>
        </w:rPr>
        <w:t>Dr Vincent Ducoulombier</w:t>
      </w:r>
    </w:p>
    <w:p w:rsidR="00E95C0E" w:rsidRPr="005E6C77" w:rsidRDefault="00E95C0E" w:rsidP="005E6C77">
      <w:pPr>
        <w:spacing w:after="0"/>
        <w:jc w:val="both"/>
        <w:rPr>
          <w:rFonts w:ascii="Arial" w:hAnsi="Arial" w:cs="Arial"/>
          <w:sz w:val="20"/>
        </w:rPr>
      </w:pPr>
      <w:r w:rsidRPr="005E6C77">
        <w:rPr>
          <w:rFonts w:ascii="Arial" w:hAnsi="Arial" w:cs="Arial"/>
          <w:sz w:val="20"/>
        </w:rPr>
        <w:t>Service de Rhumatologie de l’Hôpital Saint-Philibert</w:t>
      </w:r>
    </w:p>
    <w:p w:rsidR="00E95C0E" w:rsidRPr="005E6C77" w:rsidRDefault="00E95C0E" w:rsidP="005E6C77">
      <w:pPr>
        <w:spacing w:after="0"/>
        <w:jc w:val="both"/>
        <w:rPr>
          <w:rFonts w:ascii="Arial" w:hAnsi="Arial" w:cs="Arial"/>
          <w:sz w:val="20"/>
        </w:rPr>
      </w:pPr>
      <w:r w:rsidRPr="005E6C77">
        <w:rPr>
          <w:rFonts w:ascii="Arial" w:hAnsi="Arial" w:cs="Arial"/>
          <w:sz w:val="20"/>
        </w:rPr>
        <w:t>Groupe Hospitalier de l’Institut Catholique de Lille</w:t>
      </w:r>
    </w:p>
    <w:p w:rsidR="00E95C0E" w:rsidRPr="005E6C77" w:rsidRDefault="00E95C0E" w:rsidP="005E6C77">
      <w:pPr>
        <w:spacing w:after="0"/>
        <w:jc w:val="both"/>
        <w:rPr>
          <w:rFonts w:ascii="Arial" w:hAnsi="Arial" w:cs="Arial"/>
          <w:sz w:val="20"/>
        </w:rPr>
      </w:pPr>
      <w:r w:rsidRPr="005E6C77">
        <w:rPr>
          <w:rFonts w:ascii="Arial" w:hAnsi="Arial" w:cs="Arial"/>
          <w:sz w:val="20"/>
        </w:rPr>
        <w:t>Rue du Grand But – 59160 Lomme</w:t>
      </w:r>
    </w:p>
    <w:p w:rsidR="00E95C0E" w:rsidRPr="005E6C77" w:rsidRDefault="00E95C0E" w:rsidP="005E6C77">
      <w:pPr>
        <w:spacing w:after="0"/>
        <w:jc w:val="both"/>
        <w:rPr>
          <w:rFonts w:ascii="Arial" w:hAnsi="Arial" w:cs="Arial"/>
          <w:sz w:val="20"/>
        </w:rPr>
      </w:pPr>
      <w:r>
        <w:rPr>
          <w:rFonts w:ascii="Arial" w:hAnsi="Arial" w:cs="Arial"/>
          <w:sz w:val="20"/>
        </w:rPr>
        <w:t>e-m</w:t>
      </w:r>
      <w:r w:rsidRPr="005E6C77">
        <w:rPr>
          <w:rFonts w:ascii="Arial" w:hAnsi="Arial" w:cs="Arial"/>
          <w:sz w:val="20"/>
        </w:rPr>
        <w:t xml:space="preserve">ail : </w:t>
      </w:r>
      <w:hyperlink r:id="rId8" w:history="1">
        <w:r w:rsidRPr="005E6C77">
          <w:rPr>
            <w:rStyle w:val="Hyperlink"/>
            <w:rFonts w:ascii="Arial" w:hAnsi="Arial" w:cs="Arial"/>
            <w:sz w:val="20"/>
          </w:rPr>
          <w:t>ducoulombier.vincent@ghicl.net</w:t>
        </w:r>
      </w:hyperlink>
    </w:p>
    <w:p w:rsidR="00E95C0E" w:rsidRPr="005E6C77" w:rsidRDefault="00E95C0E" w:rsidP="0025333E">
      <w:pPr>
        <w:spacing w:after="0"/>
        <w:jc w:val="both"/>
        <w:rPr>
          <w:rFonts w:ascii="Arial" w:hAnsi="Arial" w:cs="Arial"/>
          <w:sz w:val="20"/>
        </w:rPr>
      </w:pPr>
    </w:p>
    <w:p w:rsidR="00E95C0E" w:rsidRPr="005E6C77" w:rsidRDefault="00E95C0E" w:rsidP="005E6C77">
      <w:pPr>
        <w:spacing w:after="0"/>
        <w:jc w:val="both"/>
        <w:rPr>
          <w:rFonts w:ascii="Arial" w:hAnsi="Arial" w:cs="Arial"/>
          <w:b/>
          <w:sz w:val="20"/>
        </w:rPr>
      </w:pPr>
      <w:r w:rsidRPr="005E6C77">
        <w:rPr>
          <w:rFonts w:ascii="Arial" w:hAnsi="Arial" w:cs="Arial"/>
          <w:b/>
          <w:sz w:val="20"/>
        </w:rPr>
        <w:t>Pr Eric Houvenagel</w:t>
      </w:r>
    </w:p>
    <w:p w:rsidR="00E95C0E" w:rsidRPr="005E6C77" w:rsidRDefault="00E95C0E" w:rsidP="005E6C77">
      <w:pPr>
        <w:spacing w:after="0"/>
        <w:jc w:val="both"/>
        <w:rPr>
          <w:rFonts w:ascii="Arial" w:hAnsi="Arial" w:cs="Arial"/>
          <w:sz w:val="20"/>
        </w:rPr>
      </w:pPr>
      <w:r w:rsidRPr="005E6C77">
        <w:rPr>
          <w:rFonts w:ascii="Arial" w:hAnsi="Arial" w:cs="Arial"/>
          <w:sz w:val="20"/>
        </w:rPr>
        <w:t>Service de Rhumatologie de l’Hôpital Saint-Philibert</w:t>
      </w:r>
    </w:p>
    <w:p w:rsidR="00E95C0E" w:rsidRPr="005E6C77" w:rsidRDefault="00E95C0E" w:rsidP="005E6C77">
      <w:pPr>
        <w:spacing w:after="0"/>
        <w:jc w:val="both"/>
        <w:rPr>
          <w:rFonts w:ascii="Arial" w:hAnsi="Arial" w:cs="Arial"/>
          <w:sz w:val="20"/>
        </w:rPr>
      </w:pPr>
      <w:r w:rsidRPr="005E6C77">
        <w:rPr>
          <w:rFonts w:ascii="Arial" w:hAnsi="Arial" w:cs="Arial"/>
          <w:sz w:val="20"/>
        </w:rPr>
        <w:t>Groupe Hospitalier de l’Institut Catholique de Lille</w:t>
      </w:r>
    </w:p>
    <w:p w:rsidR="00E95C0E" w:rsidRPr="005E6C77" w:rsidRDefault="00E95C0E" w:rsidP="005E6C77">
      <w:pPr>
        <w:spacing w:after="0"/>
        <w:jc w:val="both"/>
        <w:rPr>
          <w:rFonts w:ascii="Arial" w:hAnsi="Arial" w:cs="Arial"/>
          <w:sz w:val="20"/>
        </w:rPr>
      </w:pPr>
      <w:r w:rsidRPr="005E6C77">
        <w:rPr>
          <w:rFonts w:ascii="Arial" w:hAnsi="Arial" w:cs="Arial"/>
          <w:sz w:val="20"/>
        </w:rPr>
        <w:t>Rue du Grand But – 59160 Lomme</w:t>
      </w:r>
    </w:p>
    <w:p w:rsidR="00E95C0E" w:rsidRPr="005E6C77" w:rsidRDefault="00E95C0E" w:rsidP="005E6C77">
      <w:pPr>
        <w:spacing w:after="0"/>
        <w:jc w:val="both"/>
        <w:rPr>
          <w:rFonts w:ascii="Arial" w:hAnsi="Arial" w:cs="Arial"/>
          <w:sz w:val="20"/>
        </w:rPr>
      </w:pPr>
      <w:r>
        <w:rPr>
          <w:rFonts w:ascii="Arial" w:hAnsi="Arial" w:cs="Arial"/>
          <w:sz w:val="20"/>
        </w:rPr>
        <w:t>e-m</w:t>
      </w:r>
      <w:r w:rsidRPr="005E6C77">
        <w:rPr>
          <w:rFonts w:ascii="Arial" w:hAnsi="Arial" w:cs="Arial"/>
          <w:sz w:val="20"/>
        </w:rPr>
        <w:t xml:space="preserve">ail : </w:t>
      </w:r>
      <w:hyperlink r:id="rId9" w:history="1">
        <w:r w:rsidRPr="005E6C77">
          <w:rPr>
            <w:rStyle w:val="Hyperlink"/>
            <w:rFonts w:ascii="Arial" w:hAnsi="Arial" w:cs="Arial"/>
            <w:sz w:val="20"/>
          </w:rPr>
          <w:t>houvenagel.eric@ghicl.net</w:t>
        </w:r>
      </w:hyperlink>
    </w:p>
    <w:p w:rsidR="00E95C0E" w:rsidRPr="005E6C77" w:rsidRDefault="00E95C0E" w:rsidP="005E6C77">
      <w:pPr>
        <w:jc w:val="both"/>
        <w:rPr>
          <w:rFonts w:ascii="Arial" w:hAnsi="Arial" w:cs="Arial"/>
          <w:b/>
        </w:rPr>
      </w:pPr>
    </w:p>
    <w:p w:rsidR="00E95C0E" w:rsidRPr="005E6C77" w:rsidRDefault="00E95C0E" w:rsidP="005E6C77">
      <w:pPr>
        <w:jc w:val="both"/>
        <w:rPr>
          <w:rFonts w:ascii="Arial" w:hAnsi="Arial" w:cs="Arial"/>
          <w:b/>
        </w:rPr>
      </w:pPr>
      <w:r w:rsidRPr="005E6C77">
        <w:rPr>
          <w:rFonts w:ascii="Arial" w:hAnsi="Arial" w:cs="Arial"/>
          <w:b/>
        </w:rPr>
        <w:t>RATIONNEL</w:t>
      </w:r>
    </w:p>
    <w:p w:rsidR="00E95C0E" w:rsidRPr="005E6C77" w:rsidRDefault="00E95C0E" w:rsidP="005E6C77">
      <w:pPr>
        <w:jc w:val="both"/>
        <w:rPr>
          <w:rFonts w:ascii="Arial" w:hAnsi="Arial" w:cs="Arial"/>
        </w:rPr>
      </w:pPr>
      <w:r w:rsidRPr="005E6C77">
        <w:rPr>
          <w:rFonts w:ascii="Arial" w:hAnsi="Arial" w:cs="Arial"/>
        </w:rPr>
        <w:t xml:space="preserve">Les effets indésirables et paradoxaux des biothérapies notamment anti-TNF ont été largement explorés </w:t>
      </w:r>
      <w:r>
        <w:rPr>
          <w:rFonts w:ascii="Arial" w:hAnsi="Arial" w:cs="Arial"/>
        </w:rPr>
        <w:t>[</w:t>
      </w:r>
      <w:r w:rsidRPr="005E6C77">
        <w:rPr>
          <w:rFonts w:ascii="Arial" w:hAnsi="Arial" w:cs="Arial"/>
        </w:rPr>
        <w:t>1</w:t>
      </w:r>
      <w:r>
        <w:rPr>
          <w:rFonts w:ascii="Arial" w:hAnsi="Arial" w:cs="Arial"/>
        </w:rPr>
        <w:t>-4]</w:t>
      </w:r>
      <w:r w:rsidRPr="005E6C77">
        <w:rPr>
          <w:rFonts w:ascii="Arial" w:hAnsi="Arial" w:cs="Arial"/>
        </w:rPr>
        <w:t xml:space="preserve">. Hormis quelques cas rapportés de patients depuis 10 ans, les affections thyroïdiennes ne sont aujourd’hui pas considérées comme faisant partie de ces effets. </w:t>
      </w:r>
    </w:p>
    <w:p w:rsidR="00E95C0E" w:rsidRPr="005E6C77" w:rsidRDefault="00E95C0E" w:rsidP="005E6C77">
      <w:pPr>
        <w:jc w:val="both"/>
        <w:rPr>
          <w:rFonts w:ascii="Arial" w:hAnsi="Arial" w:cs="Arial"/>
        </w:rPr>
      </w:pPr>
      <w:r w:rsidRPr="005E6C77">
        <w:rPr>
          <w:rFonts w:ascii="Arial" w:hAnsi="Arial" w:cs="Arial"/>
        </w:rPr>
        <w:t xml:space="preserve">Nous avons récemment colligé dans le Nord-Pas-de-Calais onze observations de thyropathies auto-immunes sous traitement anti-TNF chez des patients porteurs de rhumatismes inflammatoires chroniques. Les thyropathies auto-immunes sont des pathologies fréquentes </w:t>
      </w:r>
      <w:r>
        <w:rPr>
          <w:rFonts w:ascii="Arial" w:hAnsi="Arial" w:cs="Arial"/>
        </w:rPr>
        <w:t>[5]</w:t>
      </w:r>
      <w:r w:rsidRPr="005E6C77">
        <w:rPr>
          <w:rFonts w:ascii="Arial" w:hAnsi="Arial" w:cs="Arial"/>
        </w:rPr>
        <w:t xml:space="preserve">, d’autant plus dans le cas de patients atteints de pathologies auto-immunes et inflammatoires </w:t>
      </w:r>
      <w:r>
        <w:rPr>
          <w:rFonts w:ascii="Arial" w:hAnsi="Arial" w:cs="Arial"/>
        </w:rPr>
        <w:t>[</w:t>
      </w:r>
      <w:r w:rsidRPr="005E6C77">
        <w:rPr>
          <w:rFonts w:ascii="Arial" w:hAnsi="Arial" w:cs="Arial"/>
        </w:rPr>
        <w:t>6</w:t>
      </w:r>
      <w:r>
        <w:rPr>
          <w:rFonts w:ascii="Arial" w:hAnsi="Arial" w:cs="Arial"/>
        </w:rPr>
        <w:t>-8]</w:t>
      </w:r>
      <w:r w:rsidRPr="005E6C77">
        <w:rPr>
          <w:rFonts w:ascii="Arial" w:hAnsi="Arial" w:cs="Arial"/>
        </w:rPr>
        <w:t>. Le lien d’</w:t>
      </w:r>
      <w:r>
        <w:rPr>
          <w:rFonts w:ascii="Arial" w:hAnsi="Arial" w:cs="Arial"/>
        </w:rPr>
        <w:t>imputabilité avec une</w:t>
      </w:r>
      <w:r w:rsidRPr="005E6C77">
        <w:rPr>
          <w:rFonts w:ascii="Arial" w:hAnsi="Arial" w:cs="Arial"/>
        </w:rPr>
        <w:t xml:space="preserve"> </w:t>
      </w:r>
      <w:r>
        <w:rPr>
          <w:rFonts w:ascii="Arial" w:hAnsi="Arial" w:cs="Arial"/>
        </w:rPr>
        <w:t>biothérapie</w:t>
      </w:r>
      <w:r w:rsidRPr="005E6C77">
        <w:rPr>
          <w:rFonts w:ascii="Arial" w:hAnsi="Arial" w:cs="Arial"/>
        </w:rPr>
        <w:t xml:space="preserve"> en cours est donc d’autant plus difficile à établir</w:t>
      </w:r>
      <w:r>
        <w:rPr>
          <w:rFonts w:ascii="Arial" w:hAnsi="Arial" w:cs="Arial"/>
        </w:rPr>
        <w:t xml:space="preserve"> lorsqu’elles surviennent</w:t>
      </w:r>
      <w:r w:rsidRPr="005E6C77">
        <w:rPr>
          <w:rFonts w:ascii="Arial" w:hAnsi="Arial" w:cs="Arial"/>
        </w:rPr>
        <w:t xml:space="preserve">. Cela peut néanmoins expliquer pourquoi ces thyropathies n’ont pas été décrites jusqu’ici. Pour autant, nos observations régionales ont retrouvé des éléments d’intérêt. Tout d’abord, la moitié des cas concernaient l’etanercept, réputé plus grand pourvoyeur d’effets paradoxaux. D’autre part, un tiers de ces thyropathies se sont accompagnées d’un échappement thérapeutique secondaire à  l’anti-TNF. Nous avons par ailleurs constaté que l’ensemble des biothérapies étaient majoritairement en monothérapie ou avec des doses minimes de méthotrexate faisant évoquer un possible rôle protecteur du méthotrexate. </w:t>
      </w:r>
      <w:r>
        <w:rPr>
          <w:rFonts w:ascii="Arial" w:hAnsi="Arial" w:cs="Arial"/>
        </w:rPr>
        <w:t>Ces deux éléments peuvent</w:t>
      </w:r>
      <w:r w:rsidRPr="005E6C77">
        <w:rPr>
          <w:rFonts w:ascii="Arial" w:hAnsi="Arial" w:cs="Arial"/>
        </w:rPr>
        <w:t xml:space="preserve"> faire penser à un éventuel lien avec l’immunogénicité des anti-TNF </w:t>
      </w:r>
      <w:r>
        <w:rPr>
          <w:rFonts w:ascii="Arial" w:hAnsi="Arial" w:cs="Arial"/>
        </w:rPr>
        <w:t>[</w:t>
      </w:r>
      <w:r w:rsidRPr="0025333E">
        <w:rPr>
          <w:rFonts w:ascii="Arial" w:hAnsi="Arial" w:cs="Arial"/>
        </w:rPr>
        <w:t>9</w:t>
      </w:r>
      <w:r>
        <w:rPr>
          <w:rFonts w:ascii="Arial" w:hAnsi="Arial" w:cs="Arial"/>
        </w:rPr>
        <w:t>-12]</w:t>
      </w:r>
      <w:bookmarkStart w:id="0" w:name="_GoBack"/>
      <w:bookmarkEnd w:id="0"/>
      <w:r w:rsidRPr="005E6C77">
        <w:rPr>
          <w:rFonts w:ascii="Arial" w:hAnsi="Arial" w:cs="Arial"/>
        </w:rPr>
        <w:t>.</w:t>
      </w:r>
    </w:p>
    <w:p w:rsidR="00E95C0E" w:rsidRPr="005E6C77" w:rsidRDefault="00E95C0E" w:rsidP="005E6C77">
      <w:pPr>
        <w:jc w:val="both"/>
        <w:rPr>
          <w:rFonts w:ascii="Arial" w:hAnsi="Arial" w:cs="Arial"/>
        </w:rPr>
      </w:pPr>
      <w:r w:rsidRPr="005E6C77">
        <w:rPr>
          <w:rFonts w:ascii="Arial" w:hAnsi="Arial" w:cs="Arial"/>
        </w:rPr>
        <w:t>Nous n’avons néanmoins pour l’heure pas les moyens d’estimer la prévalence de ces phénomènes. En outre, après discussion avec la pharmacovigilance, certains cas de thyropathies auto-immunes ont été décrits pour des biothérapies autres qu’anti-TNF, c’est pourquoi nous avons décidé d’inclure l’ensemble des biothérapies dans ce recueil. Pour l’heure, aucun des patients décrits n’était atteint d’une pathologie inflammatoire autre que rhumatismale et nous souhaitons également explorer le psoriasis cutané et les maladies inflammatoires chroniques de l’intestin notamment.</w:t>
      </w:r>
    </w:p>
    <w:p w:rsidR="00E95C0E" w:rsidRPr="005E6C77" w:rsidRDefault="00E95C0E" w:rsidP="005E6C77">
      <w:pPr>
        <w:jc w:val="both"/>
        <w:rPr>
          <w:rFonts w:ascii="Arial" w:hAnsi="Arial" w:cs="Arial"/>
        </w:rPr>
      </w:pPr>
    </w:p>
    <w:p w:rsidR="00E95C0E" w:rsidRPr="005E6C77" w:rsidRDefault="00E95C0E" w:rsidP="005E6C77">
      <w:pPr>
        <w:jc w:val="both"/>
        <w:rPr>
          <w:rFonts w:ascii="Arial" w:hAnsi="Arial" w:cs="Arial"/>
          <w:b/>
        </w:rPr>
      </w:pPr>
      <w:r w:rsidRPr="005E6C77">
        <w:rPr>
          <w:rFonts w:ascii="Arial" w:hAnsi="Arial" w:cs="Arial"/>
          <w:b/>
        </w:rPr>
        <w:t>OBJECTIFS :</w:t>
      </w:r>
    </w:p>
    <w:p w:rsidR="00E95C0E" w:rsidRPr="005E6C77" w:rsidRDefault="00E95C0E" w:rsidP="005E6C77">
      <w:pPr>
        <w:jc w:val="both"/>
        <w:rPr>
          <w:rFonts w:ascii="Arial" w:hAnsi="Arial" w:cs="Arial"/>
          <w:i/>
        </w:rPr>
      </w:pPr>
      <w:r w:rsidRPr="005E6C77">
        <w:rPr>
          <w:rFonts w:ascii="Arial" w:hAnsi="Arial" w:cs="Arial"/>
          <w:i/>
        </w:rPr>
        <w:t>Objectif principal :</w:t>
      </w:r>
    </w:p>
    <w:p w:rsidR="00E95C0E" w:rsidRPr="005E6C77" w:rsidRDefault="00E95C0E" w:rsidP="005E6C77">
      <w:pPr>
        <w:pStyle w:val="ListParagraph"/>
        <w:numPr>
          <w:ilvl w:val="0"/>
          <w:numId w:val="1"/>
        </w:numPr>
        <w:jc w:val="both"/>
        <w:rPr>
          <w:rFonts w:ascii="Arial" w:hAnsi="Arial" w:cs="Arial"/>
        </w:rPr>
      </w:pPr>
      <w:r w:rsidRPr="005E6C77">
        <w:rPr>
          <w:rFonts w:ascii="Arial" w:hAnsi="Arial" w:cs="Arial"/>
        </w:rPr>
        <w:t xml:space="preserve">Recueillir les cas français de thyropathies auto-immunes survenues sous biothérapie lors du traitement de maladies auto-immunes et inflammatoires cutanées, digestives et rhumatismales. </w:t>
      </w:r>
    </w:p>
    <w:p w:rsidR="00E95C0E" w:rsidRPr="005E6C77" w:rsidRDefault="00E95C0E" w:rsidP="005E6C77">
      <w:pPr>
        <w:jc w:val="both"/>
        <w:rPr>
          <w:rFonts w:ascii="Arial" w:hAnsi="Arial" w:cs="Arial"/>
          <w:i/>
        </w:rPr>
      </w:pPr>
      <w:r w:rsidRPr="005E6C77">
        <w:rPr>
          <w:rFonts w:ascii="Arial" w:hAnsi="Arial" w:cs="Arial"/>
          <w:i/>
        </w:rPr>
        <w:t>Objectifs secondaires :</w:t>
      </w:r>
    </w:p>
    <w:p w:rsidR="00E95C0E" w:rsidRPr="005E6C77" w:rsidRDefault="00E95C0E" w:rsidP="005E6C77">
      <w:pPr>
        <w:pStyle w:val="ListParagraph"/>
        <w:numPr>
          <w:ilvl w:val="0"/>
          <w:numId w:val="1"/>
        </w:numPr>
        <w:jc w:val="both"/>
        <w:rPr>
          <w:rFonts w:ascii="Arial" w:hAnsi="Arial" w:cs="Arial"/>
        </w:rPr>
      </w:pPr>
      <w:r w:rsidRPr="005E6C77">
        <w:rPr>
          <w:rFonts w:ascii="Arial" w:hAnsi="Arial" w:cs="Arial"/>
        </w:rPr>
        <w:t>Déterminer les biothérapies et maladies inflammatoires les plus associées aux thyropathies</w:t>
      </w:r>
    </w:p>
    <w:p w:rsidR="00E95C0E" w:rsidRPr="005E6C77" w:rsidRDefault="00E95C0E" w:rsidP="005E6C77">
      <w:pPr>
        <w:pStyle w:val="ListParagraph"/>
        <w:numPr>
          <w:ilvl w:val="0"/>
          <w:numId w:val="1"/>
        </w:numPr>
        <w:jc w:val="both"/>
        <w:rPr>
          <w:rFonts w:ascii="Arial" w:hAnsi="Arial" w:cs="Arial"/>
        </w:rPr>
      </w:pPr>
      <w:r w:rsidRPr="005E6C77">
        <w:rPr>
          <w:rFonts w:ascii="Arial" w:hAnsi="Arial" w:cs="Arial"/>
        </w:rPr>
        <w:t>Déterminer une conduite à tenir en cas de survenue de thyropathie auto-immune vis-à-vis de la biothérapie</w:t>
      </w:r>
    </w:p>
    <w:p w:rsidR="00E95C0E" w:rsidRPr="005E6C77" w:rsidRDefault="00E95C0E" w:rsidP="005E6C77">
      <w:pPr>
        <w:pStyle w:val="ListParagraph"/>
        <w:numPr>
          <w:ilvl w:val="0"/>
          <w:numId w:val="1"/>
        </w:numPr>
        <w:jc w:val="both"/>
        <w:rPr>
          <w:rFonts w:ascii="Arial" w:hAnsi="Arial" w:cs="Arial"/>
        </w:rPr>
      </w:pPr>
      <w:r w:rsidRPr="005E6C77">
        <w:rPr>
          <w:rFonts w:ascii="Arial" w:hAnsi="Arial" w:cs="Arial"/>
        </w:rPr>
        <w:t>Confirmer un éventuel rôle protecteur du Méthotrexate et un lien avec l’immunogénicité des biomédicaments</w:t>
      </w:r>
    </w:p>
    <w:p w:rsidR="00E95C0E" w:rsidRPr="005E6C77" w:rsidRDefault="00E95C0E" w:rsidP="005E6C77">
      <w:pPr>
        <w:jc w:val="both"/>
        <w:rPr>
          <w:rFonts w:ascii="Arial" w:hAnsi="Arial" w:cs="Arial"/>
        </w:rPr>
      </w:pPr>
    </w:p>
    <w:p w:rsidR="00E95C0E" w:rsidRPr="005E6C77" w:rsidRDefault="00E95C0E" w:rsidP="005E6C77">
      <w:pPr>
        <w:jc w:val="both"/>
        <w:rPr>
          <w:rFonts w:ascii="Arial" w:hAnsi="Arial" w:cs="Arial"/>
          <w:b/>
        </w:rPr>
      </w:pPr>
      <w:r w:rsidRPr="005E6C77">
        <w:rPr>
          <w:rFonts w:ascii="Arial" w:hAnsi="Arial" w:cs="Arial"/>
          <w:b/>
        </w:rPr>
        <w:t>METHODES</w:t>
      </w:r>
    </w:p>
    <w:p w:rsidR="00E95C0E" w:rsidRPr="005E6C77" w:rsidRDefault="00E95C0E" w:rsidP="005E6C77">
      <w:pPr>
        <w:pStyle w:val="ListParagraph"/>
        <w:numPr>
          <w:ilvl w:val="0"/>
          <w:numId w:val="1"/>
        </w:numPr>
        <w:jc w:val="both"/>
        <w:rPr>
          <w:rFonts w:ascii="Arial" w:hAnsi="Arial" w:cs="Arial"/>
        </w:rPr>
      </w:pPr>
      <w:r w:rsidRPr="005E6C77">
        <w:rPr>
          <w:rFonts w:ascii="Arial" w:hAnsi="Arial" w:cs="Arial"/>
        </w:rPr>
        <w:t>Critères d’inclusion :</w:t>
      </w:r>
    </w:p>
    <w:p w:rsidR="00E95C0E" w:rsidRPr="005E6C77" w:rsidRDefault="00E95C0E" w:rsidP="005E6C77">
      <w:pPr>
        <w:pStyle w:val="ListParagraph"/>
        <w:numPr>
          <w:ilvl w:val="1"/>
          <w:numId w:val="1"/>
        </w:numPr>
        <w:jc w:val="both"/>
        <w:rPr>
          <w:rFonts w:ascii="Arial" w:hAnsi="Arial" w:cs="Arial"/>
        </w:rPr>
      </w:pPr>
      <w:r w:rsidRPr="005E6C77">
        <w:rPr>
          <w:rFonts w:ascii="Arial" w:hAnsi="Arial" w:cs="Arial"/>
        </w:rPr>
        <w:t>Diagnostic de thyropathie entre le 1er janvier 2011 et le 31 décembre 2013</w:t>
      </w:r>
    </w:p>
    <w:p w:rsidR="00E95C0E" w:rsidRPr="005E6C77" w:rsidRDefault="00E95C0E" w:rsidP="005E6C77">
      <w:pPr>
        <w:pStyle w:val="ListParagraph"/>
        <w:numPr>
          <w:ilvl w:val="1"/>
          <w:numId w:val="1"/>
        </w:numPr>
        <w:jc w:val="both"/>
        <w:rPr>
          <w:rFonts w:ascii="Arial" w:hAnsi="Arial" w:cs="Arial"/>
        </w:rPr>
      </w:pPr>
      <w:r w:rsidRPr="005E6C77">
        <w:rPr>
          <w:rFonts w:ascii="Arial" w:hAnsi="Arial" w:cs="Arial"/>
        </w:rPr>
        <w:t>Preuve de l’auto-immunité par la positivité établi</w:t>
      </w:r>
      <w:r>
        <w:rPr>
          <w:rFonts w:ascii="Arial" w:hAnsi="Arial" w:cs="Arial"/>
        </w:rPr>
        <w:t>e</w:t>
      </w:r>
      <w:r w:rsidRPr="005E6C77">
        <w:rPr>
          <w:rFonts w:ascii="Arial" w:hAnsi="Arial" w:cs="Arial"/>
        </w:rPr>
        <w:t xml:space="preserve"> d’un anticorps thyroïdien (anti-TPO, anti-TRAK(TBII), anti-thyroglobuline)</w:t>
      </w:r>
    </w:p>
    <w:p w:rsidR="00E95C0E" w:rsidRPr="005E6C77" w:rsidRDefault="00E95C0E" w:rsidP="005E6C77">
      <w:pPr>
        <w:pStyle w:val="ListParagraph"/>
        <w:numPr>
          <w:ilvl w:val="1"/>
          <w:numId w:val="1"/>
        </w:numPr>
        <w:jc w:val="both"/>
        <w:rPr>
          <w:rFonts w:ascii="Arial" w:hAnsi="Arial" w:cs="Arial"/>
        </w:rPr>
      </w:pPr>
      <w:r w:rsidRPr="005E6C77">
        <w:rPr>
          <w:rFonts w:ascii="Arial" w:hAnsi="Arial" w:cs="Arial"/>
        </w:rPr>
        <w:t>Tout patient présentant une maladie auto-immune ou anti-inflammatoire traité par une biothérapie</w:t>
      </w:r>
    </w:p>
    <w:p w:rsidR="00E95C0E" w:rsidRPr="005E6C77" w:rsidRDefault="00E95C0E" w:rsidP="005E6C77">
      <w:pPr>
        <w:pStyle w:val="ListParagraph"/>
        <w:numPr>
          <w:ilvl w:val="0"/>
          <w:numId w:val="1"/>
        </w:numPr>
        <w:jc w:val="both"/>
        <w:rPr>
          <w:rFonts w:ascii="Arial" w:hAnsi="Arial" w:cs="Arial"/>
        </w:rPr>
      </w:pPr>
      <w:r w:rsidRPr="005E6C77">
        <w:rPr>
          <w:rFonts w:ascii="Arial" w:hAnsi="Arial" w:cs="Arial"/>
        </w:rPr>
        <w:t xml:space="preserve">Critères d’exclusion : </w:t>
      </w:r>
    </w:p>
    <w:p w:rsidR="00E95C0E" w:rsidRPr="005E6C77" w:rsidRDefault="00E95C0E" w:rsidP="005E6C77">
      <w:pPr>
        <w:pStyle w:val="ListParagraph"/>
        <w:numPr>
          <w:ilvl w:val="1"/>
          <w:numId w:val="1"/>
        </w:numPr>
        <w:jc w:val="both"/>
        <w:rPr>
          <w:rFonts w:ascii="Arial" w:hAnsi="Arial" w:cs="Arial"/>
        </w:rPr>
      </w:pPr>
      <w:r w:rsidRPr="005E6C77">
        <w:rPr>
          <w:rFonts w:ascii="Arial" w:hAnsi="Arial" w:cs="Arial"/>
        </w:rPr>
        <w:t>Antécédent personnel de thyropathie auto-immune préalable à la mise sous biothérapie</w:t>
      </w:r>
    </w:p>
    <w:p w:rsidR="00E95C0E" w:rsidRPr="005E6C77" w:rsidRDefault="00E95C0E" w:rsidP="005E6C77">
      <w:pPr>
        <w:pStyle w:val="ListParagraph"/>
        <w:numPr>
          <w:ilvl w:val="0"/>
          <w:numId w:val="1"/>
        </w:numPr>
        <w:jc w:val="both"/>
        <w:rPr>
          <w:rFonts w:ascii="Arial" w:hAnsi="Arial" w:cs="Arial"/>
        </w:rPr>
      </w:pPr>
      <w:r w:rsidRPr="005E6C77">
        <w:rPr>
          <w:rFonts w:ascii="Arial" w:hAnsi="Arial" w:cs="Arial"/>
        </w:rPr>
        <w:t>Croisement des données issu de l’appel à observations du CRI via son site internet avec les données de déclaration à la pharmacovigilance</w:t>
      </w:r>
    </w:p>
    <w:p w:rsidR="00E95C0E" w:rsidRDefault="00E95C0E" w:rsidP="005E6C77">
      <w:pPr>
        <w:jc w:val="both"/>
        <w:rPr>
          <w:rFonts w:ascii="Arial" w:hAnsi="Arial" w:cs="Arial"/>
          <w:lang w:val="en-US"/>
        </w:rPr>
      </w:pPr>
    </w:p>
    <w:p w:rsidR="00E95C0E" w:rsidRDefault="00E95C0E" w:rsidP="005E6C77">
      <w:pPr>
        <w:rPr>
          <w:rFonts w:ascii="Arial" w:hAnsi="Arial" w:cs="Arial"/>
          <w:b/>
          <w:u w:val="single"/>
        </w:rPr>
      </w:pPr>
      <w:r>
        <w:rPr>
          <w:rFonts w:ascii="Arial" w:hAnsi="Arial" w:cs="Arial"/>
          <w:b/>
          <w:u w:val="single"/>
        </w:rPr>
        <w:t>Tous les participants seront proposés comme co-auteurs de la publication.</w:t>
      </w:r>
    </w:p>
    <w:p w:rsidR="00E95C0E" w:rsidRDefault="00E95C0E" w:rsidP="005E6C77">
      <w:pPr>
        <w:rPr>
          <w:rFonts w:ascii="Arial" w:hAnsi="Arial" w:cs="Arial"/>
          <w:b/>
          <w:u w:val="single"/>
        </w:rPr>
      </w:pPr>
    </w:p>
    <w:p w:rsidR="00E95C0E" w:rsidRDefault="00E95C0E" w:rsidP="005E6C77">
      <w:pPr>
        <w:rPr>
          <w:rFonts w:ascii="Arial" w:hAnsi="Arial" w:cs="Arial"/>
          <w:b/>
          <w:u w:val="single"/>
        </w:rPr>
      </w:pPr>
    </w:p>
    <w:p w:rsidR="00E95C0E" w:rsidRDefault="00E95C0E" w:rsidP="005E6C77">
      <w:pPr>
        <w:rPr>
          <w:rFonts w:ascii="Arial" w:hAnsi="Arial" w:cs="Arial"/>
          <w:b/>
          <w:u w:val="single"/>
        </w:rPr>
      </w:pPr>
    </w:p>
    <w:p w:rsidR="00E95C0E" w:rsidRPr="005E6C77" w:rsidRDefault="00E95C0E" w:rsidP="005E6C77">
      <w:pPr>
        <w:rPr>
          <w:rFonts w:ascii="Arial" w:hAnsi="Arial" w:cs="Arial"/>
          <w:b/>
          <w:u w:val="single"/>
        </w:rPr>
      </w:pPr>
    </w:p>
    <w:p w:rsidR="00E95C0E" w:rsidRPr="005E6C77" w:rsidRDefault="00E95C0E" w:rsidP="005E6C77">
      <w:pPr>
        <w:jc w:val="both"/>
        <w:rPr>
          <w:rFonts w:ascii="Arial" w:hAnsi="Arial" w:cs="Arial"/>
          <w:b/>
          <w:lang w:val="en-US"/>
        </w:rPr>
      </w:pPr>
      <w:r w:rsidRPr="005E6C77">
        <w:rPr>
          <w:rFonts w:ascii="Arial" w:hAnsi="Arial" w:cs="Arial"/>
          <w:b/>
          <w:lang w:val="en-US"/>
        </w:rPr>
        <w:t>REFERENCES</w:t>
      </w:r>
    </w:p>
    <w:p w:rsidR="00E95C0E" w:rsidRPr="005E6C77" w:rsidRDefault="00E95C0E" w:rsidP="005E6C77">
      <w:pPr>
        <w:jc w:val="both"/>
        <w:rPr>
          <w:rFonts w:ascii="Arial" w:hAnsi="Arial" w:cs="Arial"/>
          <w:lang w:val="en-US"/>
        </w:rPr>
      </w:pPr>
    </w:p>
    <w:p w:rsidR="00E95C0E" w:rsidRPr="0025333E" w:rsidRDefault="00E95C0E" w:rsidP="0025333E">
      <w:pPr>
        <w:pStyle w:val="Bibliography"/>
        <w:rPr>
          <w:rFonts w:ascii="Arial" w:hAnsi="Arial" w:cs="Arial"/>
          <w:szCs w:val="24"/>
        </w:rPr>
      </w:pPr>
      <w:r>
        <w:rPr>
          <w:rFonts w:ascii="Arial" w:hAnsi="Arial" w:cs="Arial"/>
          <w:szCs w:val="24"/>
          <w:lang w:val="en-US"/>
        </w:rPr>
        <w:t>[1]</w:t>
      </w:r>
      <w:r w:rsidRPr="0025333E">
        <w:rPr>
          <w:rFonts w:ascii="Arial" w:hAnsi="Arial" w:cs="Arial"/>
          <w:szCs w:val="24"/>
          <w:lang w:val="en-US"/>
        </w:rPr>
        <w:t xml:space="preserve"> </w:t>
      </w:r>
      <w:r w:rsidRPr="0025333E">
        <w:rPr>
          <w:rFonts w:ascii="Arial" w:hAnsi="Arial" w:cs="Arial"/>
          <w:szCs w:val="24"/>
          <w:lang w:val="en-US"/>
        </w:rPr>
        <w:tab/>
        <w:t xml:space="preserve">Ramos-Casals M, Brito-Zerón P, Soto M-J, Cuadrado M-J, Khamashta MA. Autoimmune diseases induced by TNF-targeted therapies. </w:t>
      </w:r>
      <w:r w:rsidRPr="0025333E">
        <w:rPr>
          <w:rFonts w:ascii="Arial" w:hAnsi="Arial" w:cs="Arial"/>
          <w:szCs w:val="24"/>
        </w:rPr>
        <w:t>Best Pra</w:t>
      </w:r>
      <w:r>
        <w:rPr>
          <w:rFonts w:ascii="Arial" w:hAnsi="Arial" w:cs="Arial"/>
          <w:szCs w:val="24"/>
        </w:rPr>
        <w:t>ct Res Clin Rheumatol 2008;22</w:t>
      </w:r>
      <w:r w:rsidRPr="0025333E">
        <w:rPr>
          <w:rFonts w:ascii="Arial" w:hAnsi="Arial" w:cs="Arial"/>
          <w:szCs w:val="24"/>
        </w:rPr>
        <w:t>:847</w:t>
      </w:r>
      <w:r w:rsidRPr="0025333E">
        <w:rPr>
          <w:rFonts w:ascii="MS Gothic" w:eastAsia="MS Gothic" w:hAnsi="MS Gothic" w:cs="MS Gothic" w:hint="eastAsia"/>
          <w:szCs w:val="24"/>
        </w:rPr>
        <w:t>‑</w:t>
      </w:r>
      <w:r w:rsidRPr="0025333E">
        <w:rPr>
          <w:rFonts w:ascii="Arial" w:hAnsi="Arial" w:cs="Arial"/>
          <w:szCs w:val="24"/>
        </w:rPr>
        <w:t>861.</w:t>
      </w:r>
    </w:p>
    <w:p w:rsidR="00E95C0E" w:rsidRPr="0025333E" w:rsidRDefault="00E95C0E" w:rsidP="0025333E">
      <w:pPr>
        <w:pStyle w:val="Bibliography"/>
        <w:rPr>
          <w:rFonts w:ascii="Arial" w:hAnsi="Arial" w:cs="Arial"/>
          <w:szCs w:val="24"/>
          <w:lang w:val="en-US"/>
        </w:rPr>
      </w:pPr>
      <w:r>
        <w:rPr>
          <w:rFonts w:ascii="Arial" w:hAnsi="Arial" w:cs="Arial"/>
          <w:szCs w:val="24"/>
        </w:rPr>
        <w:t>[2]</w:t>
      </w:r>
      <w:r w:rsidRPr="0025333E">
        <w:rPr>
          <w:rFonts w:ascii="Arial" w:hAnsi="Arial" w:cs="Arial"/>
          <w:szCs w:val="24"/>
        </w:rPr>
        <w:t xml:space="preserve"> </w:t>
      </w:r>
      <w:r w:rsidRPr="0025333E">
        <w:rPr>
          <w:rFonts w:ascii="Arial" w:hAnsi="Arial" w:cs="Arial"/>
          <w:szCs w:val="24"/>
        </w:rPr>
        <w:tab/>
        <w:t xml:space="preserve">Fouache D, Goëb V, Massy-Guillemant N, Avenel G, Bacquet-Deschryver H, Kozyreff-Meurice M, et al. </w:t>
      </w:r>
      <w:r w:rsidRPr="0025333E">
        <w:rPr>
          <w:rFonts w:ascii="Arial" w:hAnsi="Arial" w:cs="Arial"/>
          <w:szCs w:val="24"/>
          <w:lang w:val="en-US"/>
        </w:rPr>
        <w:t xml:space="preserve">Paradoxical adverse events of anti-tumour necrosis factor therapy for spondyloarthropathies: a retrospective study. </w:t>
      </w:r>
      <w:r>
        <w:rPr>
          <w:rFonts w:ascii="Arial" w:hAnsi="Arial" w:cs="Arial"/>
          <w:szCs w:val="24"/>
          <w:lang w:val="en-US"/>
        </w:rPr>
        <w:t>Rheumatology (Oxford) 2009;48</w:t>
      </w:r>
      <w:r w:rsidRPr="0025333E">
        <w:rPr>
          <w:rFonts w:ascii="Arial" w:hAnsi="Arial" w:cs="Arial"/>
          <w:szCs w:val="24"/>
          <w:lang w:val="en-US"/>
        </w:rPr>
        <w:t>:761</w:t>
      </w:r>
      <w:r w:rsidRPr="0025333E">
        <w:rPr>
          <w:rFonts w:ascii="MS Gothic" w:eastAsia="MS Gothic" w:hAnsi="MS Gothic" w:cs="MS Gothic" w:hint="eastAsia"/>
          <w:szCs w:val="24"/>
          <w:lang w:val="en-US"/>
        </w:rPr>
        <w:t>‑</w:t>
      </w:r>
      <w:r w:rsidRPr="0025333E">
        <w:rPr>
          <w:rFonts w:ascii="Arial" w:hAnsi="Arial" w:cs="Arial"/>
          <w:szCs w:val="24"/>
          <w:lang w:val="en-US"/>
        </w:rPr>
        <w:t>764.</w:t>
      </w:r>
    </w:p>
    <w:p w:rsidR="00E95C0E" w:rsidRPr="0025333E" w:rsidRDefault="00E95C0E" w:rsidP="0025333E">
      <w:pPr>
        <w:pStyle w:val="Bibliography"/>
        <w:rPr>
          <w:rFonts w:ascii="Arial" w:hAnsi="Arial" w:cs="Arial"/>
          <w:szCs w:val="24"/>
          <w:lang w:val="en-US"/>
        </w:rPr>
      </w:pPr>
      <w:r>
        <w:rPr>
          <w:rFonts w:ascii="Arial" w:hAnsi="Arial" w:cs="Arial"/>
          <w:szCs w:val="24"/>
          <w:lang w:val="en-US"/>
        </w:rPr>
        <w:t>[3]</w:t>
      </w:r>
      <w:r w:rsidRPr="0025333E">
        <w:rPr>
          <w:rFonts w:ascii="Arial" w:hAnsi="Arial" w:cs="Arial"/>
          <w:szCs w:val="24"/>
          <w:lang w:val="en-US"/>
        </w:rPr>
        <w:t xml:space="preserve"> </w:t>
      </w:r>
      <w:r w:rsidRPr="0025333E">
        <w:rPr>
          <w:rFonts w:ascii="Arial" w:hAnsi="Arial" w:cs="Arial"/>
          <w:szCs w:val="24"/>
          <w:lang w:val="en-US"/>
        </w:rPr>
        <w:tab/>
        <w:t>Ramos-Casals M, Brito-Zerón P, Muñoz S, Soria N, Galiana D, Bertolaccini L, et al. Autoimmune diseases induced by TNF-targeted therapies: analysis of 233 cases.</w:t>
      </w:r>
      <w:r>
        <w:rPr>
          <w:rFonts w:ascii="Arial" w:hAnsi="Arial" w:cs="Arial"/>
          <w:szCs w:val="24"/>
          <w:lang w:val="en-US"/>
        </w:rPr>
        <w:t xml:space="preserve"> Medicine (Baltimore) 2007;86</w:t>
      </w:r>
      <w:r w:rsidRPr="0025333E">
        <w:rPr>
          <w:rFonts w:ascii="Arial" w:hAnsi="Arial" w:cs="Arial"/>
          <w:szCs w:val="24"/>
          <w:lang w:val="en-US"/>
        </w:rPr>
        <w:t>:242</w:t>
      </w:r>
      <w:r w:rsidRPr="0025333E">
        <w:rPr>
          <w:rFonts w:ascii="MS Gothic" w:eastAsia="MS Gothic" w:hAnsi="MS Gothic" w:cs="MS Gothic" w:hint="eastAsia"/>
          <w:szCs w:val="24"/>
          <w:lang w:val="en-US"/>
        </w:rPr>
        <w:t>‑</w:t>
      </w:r>
      <w:r w:rsidRPr="0025333E">
        <w:rPr>
          <w:rFonts w:ascii="Arial" w:hAnsi="Arial" w:cs="Arial"/>
          <w:szCs w:val="24"/>
          <w:lang w:val="en-US"/>
        </w:rPr>
        <w:t>251.</w:t>
      </w:r>
    </w:p>
    <w:p w:rsidR="00E95C0E" w:rsidRPr="0025333E" w:rsidRDefault="00E95C0E" w:rsidP="0025333E">
      <w:pPr>
        <w:pStyle w:val="Bibliography"/>
        <w:rPr>
          <w:rFonts w:ascii="Arial" w:hAnsi="Arial" w:cs="Arial"/>
          <w:szCs w:val="24"/>
          <w:lang w:val="en-US"/>
        </w:rPr>
      </w:pPr>
      <w:r>
        <w:rPr>
          <w:rFonts w:ascii="Arial" w:hAnsi="Arial" w:cs="Arial"/>
          <w:szCs w:val="24"/>
          <w:lang w:val="en-US"/>
        </w:rPr>
        <w:t>[4]</w:t>
      </w:r>
      <w:r w:rsidRPr="0025333E">
        <w:rPr>
          <w:rFonts w:ascii="Arial" w:hAnsi="Arial" w:cs="Arial"/>
          <w:szCs w:val="24"/>
          <w:lang w:val="en-US"/>
        </w:rPr>
        <w:t xml:space="preserve"> </w:t>
      </w:r>
      <w:r w:rsidRPr="0025333E">
        <w:rPr>
          <w:rFonts w:ascii="Arial" w:hAnsi="Arial" w:cs="Arial"/>
          <w:szCs w:val="24"/>
          <w:lang w:val="en-US"/>
        </w:rPr>
        <w:tab/>
        <w:t xml:space="preserve">Wendling D, Paccou J, Berthelot J-M, Flipo R-M, Guillaume-Czitrom S, Prati C, et al. New onset of uveitis during anti-tumor necrosis factor treatment for rheumatic diseases. </w:t>
      </w:r>
      <w:r>
        <w:rPr>
          <w:rFonts w:ascii="Arial" w:hAnsi="Arial" w:cs="Arial"/>
          <w:szCs w:val="24"/>
          <w:lang w:val="en-US"/>
        </w:rPr>
        <w:t>Semin Arthritis Rheum 2011;41</w:t>
      </w:r>
      <w:r w:rsidRPr="0025333E">
        <w:rPr>
          <w:rFonts w:ascii="Arial" w:hAnsi="Arial" w:cs="Arial"/>
          <w:szCs w:val="24"/>
          <w:lang w:val="en-US"/>
        </w:rPr>
        <w:t>:503</w:t>
      </w:r>
      <w:r w:rsidRPr="0025333E">
        <w:rPr>
          <w:rFonts w:ascii="MS Gothic" w:eastAsia="MS Gothic" w:hAnsi="MS Gothic" w:cs="MS Gothic" w:hint="eastAsia"/>
          <w:szCs w:val="24"/>
          <w:lang w:val="en-US"/>
        </w:rPr>
        <w:t>‑</w:t>
      </w:r>
      <w:r w:rsidRPr="0025333E">
        <w:rPr>
          <w:rFonts w:ascii="Arial" w:hAnsi="Arial" w:cs="Arial"/>
          <w:szCs w:val="24"/>
          <w:lang w:val="en-US"/>
        </w:rPr>
        <w:t>510.</w:t>
      </w:r>
    </w:p>
    <w:p w:rsidR="00E95C0E" w:rsidRPr="0025333E" w:rsidRDefault="00E95C0E" w:rsidP="0025333E">
      <w:pPr>
        <w:pStyle w:val="Bibliography"/>
        <w:rPr>
          <w:rFonts w:ascii="Arial" w:hAnsi="Arial" w:cs="Arial"/>
          <w:szCs w:val="24"/>
          <w:lang w:val="en-US"/>
        </w:rPr>
      </w:pPr>
      <w:r>
        <w:rPr>
          <w:rFonts w:ascii="Arial" w:hAnsi="Arial" w:cs="Arial"/>
          <w:szCs w:val="24"/>
          <w:lang w:val="en-US"/>
        </w:rPr>
        <w:t>[5]</w:t>
      </w:r>
      <w:r w:rsidRPr="0025333E">
        <w:rPr>
          <w:rFonts w:ascii="Arial" w:hAnsi="Arial" w:cs="Arial"/>
          <w:szCs w:val="24"/>
          <w:lang w:val="en-US"/>
        </w:rPr>
        <w:t xml:space="preserve"> </w:t>
      </w:r>
      <w:r w:rsidRPr="0025333E">
        <w:rPr>
          <w:rFonts w:ascii="Arial" w:hAnsi="Arial" w:cs="Arial"/>
          <w:szCs w:val="24"/>
          <w:lang w:val="en-US"/>
        </w:rPr>
        <w:tab/>
        <w:t>Dayan CM, Daniels GH. Chronic autoimmune thyro</w:t>
      </w:r>
      <w:r>
        <w:rPr>
          <w:rFonts w:ascii="Arial" w:hAnsi="Arial" w:cs="Arial"/>
          <w:szCs w:val="24"/>
          <w:lang w:val="en-US"/>
        </w:rPr>
        <w:t>iditis. N Engl J Med 1996;335</w:t>
      </w:r>
      <w:r w:rsidRPr="0025333E">
        <w:rPr>
          <w:rFonts w:ascii="Arial" w:hAnsi="Arial" w:cs="Arial"/>
          <w:szCs w:val="24"/>
          <w:lang w:val="en-US"/>
        </w:rPr>
        <w:t>:99</w:t>
      </w:r>
      <w:r w:rsidRPr="0025333E">
        <w:rPr>
          <w:rFonts w:ascii="MS Gothic" w:eastAsia="MS Gothic" w:hAnsi="MS Gothic" w:cs="MS Gothic" w:hint="eastAsia"/>
          <w:szCs w:val="24"/>
          <w:lang w:val="en-US"/>
        </w:rPr>
        <w:t>‑</w:t>
      </w:r>
      <w:r w:rsidRPr="0025333E">
        <w:rPr>
          <w:rFonts w:ascii="Arial" w:hAnsi="Arial" w:cs="Arial"/>
          <w:szCs w:val="24"/>
          <w:lang w:val="en-US"/>
        </w:rPr>
        <w:t>107.</w:t>
      </w:r>
    </w:p>
    <w:p w:rsidR="00E95C0E" w:rsidRPr="0025333E" w:rsidRDefault="00E95C0E" w:rsidP="00CF4913">
      <w:pPr>
        <w:pStyle w:val="Bibliography"/>
        <w:rPr>
          <w:rFonts w:ascii="Arial" w:hAnsi="Arial" w:cs="Arial"/>
          <w:szCs w:val="24"/>
          <w:lang w:val="en-US"/>
        </w:rPr>
      </w:pPr>
      <w:r>
        <w:rPr>
          <w:rFonts w:ascii="Arial" w:hAnsi="Arial" w:cs="Arial"/>
          <w:szCs w:val="24"/>
          <w:lang w:val="en-US"/>
        </w:rPr>
        <w:t>[6]</w:t>
      </w:r>
      <w:r w:rsidRPr="0025333E">
        <w:rPr>
          <w:rFonts w:ascii="Arial" w:hAnsi="Arial" w:cs="Arial"/>
          <w:szCs w:val="24"/>
          <w:lang w:val="en-US"/>
        </w:rPr>
        <w:t xml:space="preserve"> </w:t>
      </w:r>
      <w:r w:rsidRPr="0025333E">
        <w:rPr>
          <w:rFonts w:ascii="Arial" w:hAnsi="Arial" w:cs="Arial"/>
          <w:szCs w:val="24"/>
          <w:lang w:val="en-US"/>
        </w:rPr>
        <w:tab/>
      </w:r>
      <w:r w:rsidRPr="00CF4913">
        <w:rPr>
          <w:rFonts w:ascii="Arial" w:hAnsi="Arial" w:cs="Arial"/>
          <w:szCs w:val="24"/>
          <w:lang w:val="en-US"/>
        </w:rPr>
        <w:t xml:space="preserve">Shiroky JB, Cohen M, Ballachey ML, Neville C. Thyroid dysfunction in rheumatoid arthritis: a controlled prospective </w:t>
      </w:r>
      <w:r>
        <w:rPr>
          <w:rFonts w:ascii="Arial" w:hAnsi="Arial" w:cs="Arial"/>
          <w:szCs w:val="24"/>
          <w:lang w:val="en-US"/>
        </w:rPr>
        <w:t>survey. Ann Rheum Dis 1993;52</w:t>
      </w:r>
      <w:r w:rsidRPr="00CF4913">
        <w:rPr>
          <w:rFonts w:ascii="Arial" w:hAnsi="Arial" w:cs="Arial"/>
          <w:szCs w:val="24"/>
          <w:lang w:val="en-US"/>
        </w:rPr>
        <w:t>:454</w:t>
      </w:r>
      <w:r w:rsidRPr="00CF4913">
        <w:rPr>
          <w:rFonts w:ascii="MS Gothic" w:eastAsia="MS Gothic" w:hAnsi="MS Gothic" w:cs="MS Gothic" w:hint="eastAsia"/>
          <w:szCs w:val="24"/>
          <w:lang w:val="en-US"/>
        </w:rPr>
        <w:t>‑</w:t>
      </w:r>
      <w:r w:rsidRPr="00CF4913">
        <w:rPr>
          <w:rFonts w:ascii="Arial" w:hAnsi="Arial" w:cs="Arial"/>
          <w:szCs w:val="24"/>
          <w:lang w:val="en-US"/>
        </w:rPr>
        <w:t>456.</w:t>
      </w:r>
    </w:p>
    <w:p w:rsidR="00E95C0E" w:rsidRPr="0025333E" w:rsidRDefault="00E95C0E" w:rsidP="0025333E">
      <w:pPr>
        <w:pStyle w:val="Bibliography"/>
        <w:rPr>
          <w:rFonts w:ascii="Arial" w:hAnsi="Arial" w:cs="Arial"/>
          <w:szCs w:val="24"/>
        </w:rPr>
      </w:pPr>
      <w:r>
        <w:rPr>
          <w:rFonts w:ascii="Arial" w:hAnsi="Arial" w:cs="Arial"/>
          <w:szCs w:val="24"/>
          <w:lang w:val="en-US"/>
        </w:rPr>
        <w:t>[7]</w:t>
      </w:r>
      <w:r w:rsidRPr="0025333E">
        <w:rPr>
          <w:rFonts w:ascii="Arial" w:hAnsi="Arial" w:cs="Arial"/>
          <w:szCs w:val="24"/>
          <w:lang w:val="en-US"/>
        </w:rPr>
        <w:t xml:space="preserve"> </w:t>
      </w:r>
      <w:r w:rsidRPr="0025333E">
        <w:rPr>
          <w:rFonts w:ascii="Arial" w:hAnsi="Arial" w:cs="Arial"/>
          <w:szCs w:val="24"/>
          <w:lang w:val="en-US"/>
        </w:rPr>
        <w:tab/>
        <w:t xml:space="preserve">Stagi S, Giani T, Simonini G, Falcini F. Thyroid function, autoimmune thyroiditis and coeliac disease in juvenile idiopathic arthritis. </w:t>
      </w:r>
      <w:r>
        <w:rPr>
          <w:rFonts w:ascii="Arial" w:hAnsi="Arial" w:cs="Arial"/>
          <w:szCs w:val="24"/>
        </w:rPr>
        <w:t>Rheumatology (Oxford) 2005;44</w:t>
      </w:r>
      <w:r w:rsidRPr="0025333E">
        <w:rPr>
          <w:rFonts w:ascii="Arial" w:hAnsi="Arial" w:cs="Arial"/>
          <w:szCs w:val="24"/>
        </w:rPr>
        <w:t>:517</w:t>
      </w:r>
      <w:r w:rsidRPr="0025333E">
        <w:rPr>
          <w:rFonts w:ascii="MS Gothic" w:eastAsia="MS Gothic" w:hAnsi="MS Gothic" w:cs="MS Gothic" w:hint="eastAsia"/>
          <w:szCs w:val="24"/>
        </w:rPr>
        <w:t>‑</w:t>
      </w:r>
      <w:r w:rsidRPr="0025333E">
        <w:rPr>
          <w:rFonts w:ascii="Arial" w:hAnsi="Arial" w:cs="Arial"/>
          <w:szCs w:val="24"/>
        </w:rPr>
        <w:t>520.</w:t>
      </w:r>
    </w:p>
    <w:p w:rsidR="00E95C0E" w:rsidRPr="0025333E" w:rsidRDefault="00E95C0E" w:rsidP="0025333E">
      <w:pPr>
        <w:pStyle w:val="Bibliography"/>
        <w:rPr>
          <w:rFonts w:ascii="Arial" w:hAnsi="Arial" w:cs="Arial"/>
          <w:szCs w:val="24"/>
          <w:lang w:val="en-US"/>
        </w:rPr>
      </w:pPr>
      <w:r>
        <w:rPr>
          <w:rFonts w:ascii="Arial" w:hAnsi="Arial" w:cs="Arial"/>
          <w:szCs w:val="24"/>
        </w:rPr>
        <w:t>[8]</w:t>
      </w:r>
      <w:r w:rsidRPr="0025333E">
        <w:rPr>
          <w:rFonts w:ascii="Arial" w:hAnsi="Arial" w:cs="Arial"/>
          <w:szCs w:val="24"/>
        </w:rPr>
        <w:t xml:space="preserve"> </w:t>
      </w:r>
      <w:r w:rsidRPr="0025333E">
        <w:rPr>
          <w:rFonts w:ascii="Arial" w:hAnsi="Arial" w:cs="Arial"/>
          <w:szCs w:val="24"/>
        </w:rPr>
        <w:tab/>
        <w:t xml:space="preserve">Antonelli A, Delle Sedie A, Fallahi P, Ferrari SM, Maccheroni M, Ferrannini E, et al. </w:t>
      </w:r>
      <w:r w:rsidRPr="0025333E">
        <w:rPr>
          <w:rFonts w:ascii="Arial" w:hAnsi="Arial" w:cs="Arial"/>
          <w:szCs w:val="24"/>
          <w:lang w:val="en-US"/>
        </w:rPr>
        <w:t>High prevalence of thyroid autoimmunity and hypothyroidism in patients with psoriatic ar</w:t>
      </w:r>
      <w:r>
        <w:rPr>
          <w:rFonts w:ascii="Arial" w:hAnsi="Arial" w:cs="Arial"/>
          <w:szCs w:val="24"/>
          <w:lang w:val="en-US"/>
        </w:rPr>
        <w:t>thritis. J Rheumatol 2006;33</w:t>
      </w:r>
      <w:r w:rsidRPr="0025333E">
        <w:rPr>
          <w:rFonts w:ascii="Arial" w:hAnsi="Arial" w:cs="Arial"/>
          <w:szCs w:val="24"/>
          <w:lang w:val="en-US"/>
        </w:rPr>
        <w:t>:2026</w:t>
      </w:r>
      <w:r w:rsidRPr="0025333E">
        <w:rPr>
          <w:rFonts w:ascii="MS Gothic" w:eastAsia="MS Gothic" w:hAnsi="MS Gothic" w:cs="MS Gothic" w:hint="eastAsia"/>
          <w:szCs w:val="24"/>
          <w:lang w:val="en-US"/>
        </w:rPr>
        <w:t>‑</w:t>
      </w:r>
      <w:r w:rsidRPr="0025333E">
        <w:rPr>
          <w:rFonts w:ascii="Arial" w:hAnsi="Arial" w:cs="Arial"/>
          <w:szCs w:val="24"/>
          <w:lang w:val="en-US"/>
        </w:rPr>
        <w:t>2028.</w:t>
      </w:r>
    </w:p>
    <w:p w:rsidR="00E95C0E" w:rsidRPr="0025333E" w:rsidRDefault="00E95C0E" w:rsidP="0025333E">
      <w:pPr>
        <w:pStyle w:val="Bibliography"/>
        <w:rPr>
          <w:rFonts w:ascii="Arial" w:hAnsi="Arial" w:cs="Arial"/>
          <w:szCs w:val="24"/>
          <w:lang w:val="en-US"/>
        </w:rPr>
      </w:pPr>
      <w:r>
        <w:rPr>
          <w:rFonts w:ascii="Arial" w:hAnsi="Arial" w:cs="Arial"/>
          <w:szCs w:val="24"/>
          <w:lang w:val="en-US"/>
        </w:rPr>
        <w:t>[9]</w:t>
      </w:r>
      <w:r w:rsidRPr="0025333E">
        <w:rPr>
          <w:rFonts w:ascii="Arial" w:hAnsi="Arial" w:cs="Arial"/>
          <w:szCs w:val="24"/>
          <w:lang w:val="en-US"/>
        </w:rPr>
        <w:t xml:space="preserve"> </w:t>
      </w:r>
      <w:r w:rsidRPr="0025333E">
        <w:rPr>
          <w:rFonts w:ascii="Arial" w:hAnsi="Arial" w:cs="Arial"/>
          <w:szCs w:val="24"/>
          <w:lang w:val="en-US"/>
        </w:rPr>
        <w:tab/>
        <w:t>Krieckaert CLM, Bartelds GM, Lems WF, Wolbink GJ. The effect of immunomodulators on the immunogenicity of TNF-blocking therapeutic monoclonal antibodies: a revi</w:t>
      </w:r>
      <w:r>
        <w:rPr>
          <w:rFonts w:ascii="Arial" w:hAnsi="Arial" w:cs="Arial"/>
          <w:szCs w:val="24"/>
          <w:lang w:val="en-US"/>
        </w:rPr>
        <w:t>ew. Arthritis Res Ther 2010;12</w:t>
      </w:r>
      <w:r w:rsidRPr="0025333E">
        <w:rPr>
          <w:rFonts w:ascii="Arial" w:hAnsi="Arial" w:cs="Arial"/>
          <w:szCs w:val="24"/>
          <w:lang w:val="en-US"/>
        </w:rPr>
        <w:t>:217.</w:t>
      </w:r>
    </w:p>
    <w:p w:rsidR="00E95C0E" w:rsidRPr="0025333E" w:rsidRDefault="00E95C0E" w:rsidP="0025333E">
      <w:pPr>
        <w:pStyle w:val="Bibliography"/>
        <w:rPr>
          <w:rFonts w:ascii="Arial" w:hAnsi="Arial" w:cs="Arial"/>
          <w:szCs w:val="24"/>
          <w:lang w:val="en-US"/>
        </w:rPr>
      </w:pPr>
      <w:r>
        <w:rPr>
          <w:rFonts w:ascii="Arial" w:hAnsi="Arial" w:cs="Arial"/>
          <w:szCs w:val="24"/>
          <w:lang w:val="en-US"/>
        </w:rPr>
        <w:t>[10]</w:t>
      </w:r>
      <w:r>
        <w:rPr>
          <w:rFonts w:ascii="Arial" w:hAnsi="Arial" w:cs="Arial"/>
          <w:szCs w:val="24"/>
          <w:lang w:val="en-US"/>
        </w:rPr>
        <w:tab/>
      </w:r>
      <w:r w:rsidRPr="0025333E">
        <w:rPr>
          <w:rFonts w:ascii="Arial" w:hAnsi="Arial" w:cs="Arial"/>
          <w:szCs w:val="24"/>
          <w:lang w:val="en-US"/>
        </w:rPr>
        <w:t>Garcês S, Demengeot J, Benito-Garcia E. The immunogenicity of anti-TNF therapy in immune-mediated inflammatory diseases: a systematic review of the literature with a meta-analysis. Ann Rheum Dis 2012;doi:10.1136/annrheumdis-2012-202220</w:t>
      </w:r>
    </w:p>
    <w:p w:rsidR="00E95C0E" w:rsidRPr="0025333E" w:rsidRDefault="00E95C0E" w:rsidP="0025333E">
      <w:pPr>
        <w:pStyle w:val="Bibliography"/>
        <w:rPr>
          <w:rFonts w:ascii="Arial" w:hAnsi="Arial" w:cs="Arial"/>
          <w:szCs w:val="24"/>
          <w:lang w:val="en-US"/>
        </w:rPr>
      </w:pPr>
      <w:r>
        <w:rPr>
          <w:rFonts w:ascii="Arial" w:hAnsi="Arial" w:cs="Arial"/>
          <w:szCs w:val="24"/>
          <w:lang w:val="en-US"/>
        </w:rPr>
        <w:t>[11]</w:t>
      </w:r>
      <w:r w:rsidRPr="0025333E">
        <w:rPr>
          <w:rFonts w:ascii="Arial" w:hAnsi="Arial" w:cs="Arial"/>
          <w:szCs w:val="24"/>
          <w:lang w:val="en-US"/>
        </w:rPr>
        <w:tab/>
        <w:t>Van Schouwenburg PA, Rispens T, Wolbink GJ. Immunogenicity of anti-TNF biologic therapies for rheumatoid arthri</w:t>
      </w:r>
      <w:r>
        <w:rPr>
          <w:rFonts w:ascii="Arial" w:hAnsi="Arial" w:cs="Arial"/>
          <w:szCs w:val="24"/>
          <w:lang w:val="en-US"/>
        </w:rPr>
        <w:t>tis. Nat Rev Rheumatol 2013;9</w:t>
      </w:r>
      <w:r w:rsidRPr="0025333E">
        <w:rPr>
          <w:rFonts w:ascii="Arial" w:hAnsi="Arial" w:cs="Arial"/>
          <w:szCs w:val="24"/>
          <w:lang w:val="en-US"/>
        </w:rPr>
        <w:t>:164</w:t>
      </w:r>
      <w:r w:rsidRPr="0025333E">
        <w:rPr>
          <w:rFonts w:ascii="MS Gothic" w:eastAsia="MS Gothic" w:hAnsi="MS Gothic" w:cs="MS Gothic" w:hint="eastAsia"/>
          <w:szCs w:val="24"/>
          <w:lang w:val="en-US"/>
        </w:rPr>
        <w:t>‑</w:t>
      </w:r>
      <w:r w:rsidRPr="0025333E">
        <w:rPr>
          <w:rFonts w:ascii="Arial" w:hAnsi="Arial" w:cs="Arial"/>
          <w:szCs w:val="24"/>
          <w:lang w:val="en-US"/>
        </w:rPr>
        <w:t>172.</w:t>
      </w:r>
    </w:p>
    <w:p w:rsidR="00E95C0E" w:rsidRPr="00CF4913" w:rsidRDefault="00E95C0E" w:rsidP="0025333E">
      <w:pPr>
        <w:pStyle w:val="Bibliography"/>
        <w:rPr>
          <w:rFonts w:ascii="Arial" w:hAnsi="Arial" w:cs="Arial"/>
          <w:szCs w:val="24"/>
          <w:lang w:val="en-US"/>
        </w:rPr>
      </w:pPr>
      <w:r>
        <w:rPr>
          <w:rFonts w:ascii="Arial" w:hAnsi="Arial" w:cs="Arial"/>
          <w:szCs w:val="24"/>
          <w:lang w:val="en-US"/>
        </w:rPr>
        <w:t>[12]</w:t>
      </w:r>
      <w:r w:rsidRPr="0025333E">
        <w:rPr>
          <w:rFonts w:ascii="Arial" w:hAnsi="Arial" w:cs="Arial"/>
          <w:szCs w:val="24"/>
          <w:lang w:val="en-US"/>
        </w:rPr>
        <w:tab/>
        <w:t xml:space="preserve">Garcês S, Antunes M, Benito-Garcia E, da Silva JC, Aarden L, Demengeot J. A preliminary algorithm introducing immunogenicity assessment in the management of patients with RA receiving tumour necrosis factor inhibitor therapies. </w:t>
      </w:r>
      <w:r w:rsidRPr="00CF4913">
        <w:rPr>
          <w:rFonts w:ascii="Arial" w:hAnsi="Arial" w:cs="Arial"/>
          <w:szCs w:val="24"/>
          <w:lang w:val="en-US"/>
        </w:rPr>
        <w:t>Ann Rheum Dis 2013;doi:10.1136/annrheumdis-2013-203296</w:t>
      </w:r>
    </w:p>
    <w:p w:rsidR="00E95C0E" w:rsidRPr="00C70A94" w:rsidRDefault="00E95C0E" w:rsidP="005E6C77">
      <w:pPr>
        <w:jc w:val="both"/>
        <w:rPr>
          <w:rFonts w:ascii="Arial" w:hAnsi="Arial" w:cs="Arial"/>
          <w:lang w:val="en-US"/>
        </w:rPr>
      </w:pPr>
    </w:p>
    <w:p w:rsidR="00E95C0E" w:rsidRDefault="00E95C0E" w:rsidP="00C70A94">
      <w:pPr>
        <w:spacing w:line="480" w:lineRule="auto"/>
        <w:jc w:val="both"/>
        <w:rPr>
          <w:rFonts w:ascii="Arial" w:hAnsi="Arial" w:cs="Arial"/>
          <w:lang w:val="en-US"/>
        </w:rPr>
      </w:pPr>
    </w:p>
    <w:p w:rsidR="00E95C0E" w:rsidRPr="00C70A94" w:rsidRDefault="00E95C0E" w:rsidP="00C70A94">
      <w:pPr>
        <w:tabs>
          <w:tab w:val="left" w:pos="1845"/>
        </w:tabs>
        <w:spacing w:line="480" w:lineRule="auto"/>
        <w:jc w:val="both"/>
        <w:rPr>
          <w:rFonts w:ascii="Arial" w:hAnsi="Arial" w:cs="Arial"/>
          <w:lang w:val="en-US"/>
        </w:rPr>
      </w:pPr>
    </w:p>
    <w:sectPr w:rsidR="00E95C0E" w:rsidRPr="00C70A94" w:rsidSect="003666B1">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C0E" w:rsidRDefault="00E95C0E" w:rsidP="002D45A4">
      <w:pPr>
        <w:spacing w:after="0" w:line="240" w:lineRule="auto"/>
      </w:pPr>
      <w:r>
        <w:separator/>
      </w:r>
    </w:p>
  </w:endnote>
  <w:endnote w:type="continuationSeparator" w:id="0">
    <w:p w:rsidR="00E95C0E" w:rsidRDefault="00E95C0E" w:rsidP="002D4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l?r ?S?V?b?N"/>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C0E" w:rsidRDefault="00E95C0E">
    <w:pPr>
      <w:pStyle w:val="Footer"/>
      <w:jc w:val="center"/>
    </w:pPr>
    <w:fldSimple w:instr="PAGE   \* MERGEFORMAT">
      <w:r>
        <w:rPr>
          <w:noProof/>
        </w:rPr>
        <w:t>2</w:t>
      </w:r>
    </w:fldSimple>
  </w:p>
  <w:p w:rsidR="00E95C0E" w:rsidRDefault="00E95C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C0E" w:rsidRDefault="00E95C0E" w:rsidP="002D45A4">
      <w:pPr>
        <w:spacing w:after="0" w:line="240" w:lineRule="auto"/>
      </w:pPr>
      <w:r>
        <w:separator/>
      </w:r>
    </w:p>
  </w:footnote>
  <w:footnote w:type="continuationSeparator" w:id="0">
    <w:p w:rsidR="00E95C0E" w:rsidRDefault="00E95C0E" w:rsidP="002D45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04B16"/>
    <w:multiLevelType w:val="hybridMultilevel"/>
    <w:tmpl w:val="8284785C"/>
    <w:lvl w:ilvl="0" w:tplc="6DD4F27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D1D"/>
    <w:rsid w:val="00005BFC"/>
    <w:rsid w:val="000142D2"/>
    <w:rsid w:val="00032E66"/>
    <w:rsid w:val="00042389"/>
    <w:rsid w:val="00070DC8"/>
    <w:rsid w:val="0007622E"/>
    <w:rsid w:val="00084EF0"/>
    <w:rsid w:val="0009179E"/>
    <w:rsid w:val="000A3048"/>
    <w:rsid w:val="000A4D65"/>
    <w:rsid w:val="000B2C90"/>
    <w:rsid w:val="000B46A7"/>
    <w:rsid w:val="000D097A"/>
    <w:rsid w:val="000E06AE"/>
    <w:rsid w:val="000F3D40"/>
    <w:rsid w:val="000F61E5"/>
    <w:rsid w:val="000F62D2"/>
    <w:rsid w:val="0015338E"/>
    <w:rsid w:val="00156F5E"/>
    <w:rsid w:val="00162729"/>
    <w:rsid w:val="00162C95"/>
    <w:rsid w:val="0016365A"/>
    <w:rsid w:val="00170238"/>
    <w:rsid w:val="001708E2"/>
    <w:rsid w:val="00182DCA"/>
    <w:rsid w:val="001A4B67"/>
    <w:rsid w:val="001A5F95"/>
    <w:rsid w:val="001B56A7"/>
    <w:rsid w:val="001D1F95"/>
    <w:rsid w:val="001E02D6"/>
    <w:rsid w:val="001E0652"/>
    <w:rsid w:val="001E3DE6"/>
    <w:rsid w:val="001E5F1F"/>
    <w:rsid w:val="002114FD"/>
    <w:rsid w:val="00226F79"/>
    <w:rsid w:val="002300D8"/>
    <w:rsid w:val="002305AD"/>
    <w:rsid w:val="002420E6"/>
    <w:rsid w:val="00242918"/>
    <w:rsid w:val="00250558"/>
    <w:rsid w:val="00251DE0"/>
    <w:rsid w:val="0025333E"/>
    <w:rsid w:val="002536AF"/>
    <w:rsid w:val="00277A91"/>
    <w:rsid w:val="002906F7"/>
    <w:rsid w:val="00295931"/>
    <w:rsid w:val="002A596B"/>
    <w:rsid w:val="002B0860"/>
    <w:rsid w:val="002C71B5"/>
    <w:rsid w:val="002D45A4"/>
    <w:rsid w:val="002D6C69"/>
    <w:rsid w:val="002D795D"/>
    <w:rsid w:val="002E48F6"/>
    <w:rsid w:val="002E4CE8"/>
    <w:rsid w:val="002F6793"/>
    <w:rsid w:val="00302F17"/>
    <w:rsid w:val="00312B0C"/>
    <w:rsid w:val="00313E61"/>
    <w:rsid w:val="003358BB"/>
    <w:rsid w:val="00346BBB"/>
    <w:rsid w:val="003601FE"/>
    <w:rsid w:val="00360290"/>
    <w:rsid w:val="00362D60"/>
    <w:rsid w:val="003666B1"/>
    <w:rsid w:val="00394AE1"/>
    <w:rsid w:val="003A0486"/>
    <w:rsid w:val="003A44A6"/>
    <w:rsid w:val="003B4280"/>
    <w:rsid w:val="003B494C"/>
    <w:rsid w:val="003B4A4F"/>
    <w:rsid w:val="003C057E"/>
    <w:rsid w:val="003C4C97"/>
    <w:rsid w:val="003C6B85"/>
    <w:rsid w:val="003D3573"/>
    <w:rsid w:val="003D4510"/>
    <w:rsid w:val="003F33F7"/>
    <w:rsid w:val="00402181"/>
    <w:rsid w:val="004108D8"/>
    <w:rsid w:val="00410ABE"/>
    <w:rsid w:val="00436E66"/>
    <w:rsid w:val="004539E0"/>
    <w:rsid w:val="00455F40"/>
    <w:rsid w:val="00461FB6"/>
    <w:rsid w:val="00471CC3"/>
    <w:rsid w:val="00483082"/>
    <w:rsid w:val="004941EA"/>
    <w:rsid w:val="004A1755"/>
    <w:rsid w:val="004C6817"/>
    <w:rsid w:val="004E6AD3"/>
    <w:rsid w:val="004E75DF"/>
    <w:rsid w:val="004F098A"/>
    <w:rsid w:val="004F6069"/>
    <w:rsid w:val="00525185"/>
    <w:rsid w:val="005344A4"/>
    <w:rsid w:val="00551028"/>
    <w:rsid w:val="005610A6"/>
    <w:rsid w:val="00572CD8"/>
    <w:rsid w:val="0059494E"/>
    <w:rsid w:val="00595E1D"/>
    <w:rsid w:val="00596AC6"/>
    <w:rsid w:val="00597206"/>
    <w:rsid w:val="005B1092"/>
    <w:rsid w:val="005D3F4D"/>
    <w:rsid w:val="005E6C77"/>
    <w:rsid w:val="005F0A86"/>
    <w:rsid w:val="0060260F"/>
    <w:rsid w:val="00605D76"/>
    <w:rsid w:val="00606DF4"/>
    <w:rsid w:val="006313B9"/>
    <w:rsid w:val="0063634D"/>
    <w:rsid w:val="00656839"/>
    <w:rsid w:val="00656AF1"/>
    <w:rsid w:val="0065732B"/>
    <w:rsid w:val="00662371"/>
    <w:rsid w:val="006671A7"/>
    <w:rsid w:val="0068357D"/>
    <w:rsid w:val="006A1B2E"/>
    <w:rsid w:val="006A60F1"/>
    <w:rsid w:val="006A728B"/>
    <w:rsid w:val="006B77A3"/>
    <w:rsid w:val="006C1FA2"/>
    <w:rsid w:val="006C2666"/>
    <w:rsid w:val="006C39DB"/>
    <w:rsid w:val="006D357B"/>
    <w:rsid w:val="006F5284"/>
    <w:rsid w:val="006F6862"/>
    <w:rsid w:val="00704A98"/>
    <w:rsid w:val="00706CC4"/>
    <w:rsid w:val="00706E9C"/>
    <w:rsid w:val="00713665"/>
    <w:rsid w:val="007274CA"/>
    <w:rsid w:val="00740DBA"/>
    <w:rsid w:val="00745202"/>
    <w:rsid w:val="00751242"/>
    <w:rsid w:val="007513E8"/>
    <w:rsid w:val="00761D89"/>
    <w:rsid w:val="00765E71"/>
    <w:rsid w:val="007662A5"/>
    <w:rsid w:val="0077133D"/>
    <w:rsid w:val="0077706E"/>
    <w:rsid w:val="00783596"/>
    <w:rsid w:val="00793F9F"/>
    <w:rsid w:val="00796142"/>
    <w:rsid w:val="007A21EA"/>
    <w:rsid w:val="007E3CD2"/>
    <w:rsid w:val="007E6DF9"/>
    <w:rsid w:val="007F4288"/>
    <w:rsid w:val="00803C16"/>
    <w:rsid w:val="00816892"/>
    <w:rsid w:val="008268D4"/>
    <w:rsid w:val="00837CA5"/>
    <w:rsid w:val="008523FE"/>
    <w:rsid w:val="008536CA"/>
    <w:rsid w:val="00881D4A"/>
    <w:rsid w:val="008B3B1F"/>
    <w:rsid w:val="008D5320"/>
    <w:rsid w:val="008D6327"/>
    <w:rsid w:val="008E48C0"/>
    <w:rsid w:val="008F6840"/>
    <w:rsid w:val="00901585"/>
    <w:rsid w:val="00902BA4"/>
    <w:rsid w:val="00920FBB"/>
    <w:rsid w:val="0093013F"/>
    <w:rsid w:val="00934E2B"/>
    <w:rsid w:val="009365D8"/>
    <w:rsid w:val="00941D49"/>
    <w:rsid w:val="009440F3"/>
    <w:rsid w:val="00945BA4"/>
    <w:rsid w:val="00956B86"/>
    <w:rsid w:val="00971B5E"/>
    <w:rsid w:val="00971D60"/>
    <w:rsid w:val="009834EC"/>
    <w:rsid w:val="00987057"/>
    <w:rsid w:val="00996594"/>
    <w:rsid w:val="009A6140"/>
    <w:rsid w:val="009B3398"/>
    <w:rsid w:val="009B357E"/>
    <w:rsid w:val="009B445B"/>
    <w:rsid w:val="009C611D"/>
    <w:rsid w:val="009C7A5F"/>
    <w:rsid w:val="009D0B66"/>
    <w:rsid w:val="009D4831"/>
    <w:rsid w:val="009D57E3"/>
    <w:rsid w:val="009E25C0"/>
    <w:rsid w:val="009E68B9"/>
    <w:rsid w:val="009F6EE6"/>
    <w:rsid w:val="00A1423F"/>
    <w:rsid w:val="00A157D0"/>
    <w:rsid w:val="00A46119"/>
    <w:rsid w:val="00A46E6D"/>
    <w:rsid w:val="00A857C2"/>
    <w:rsid w:val="00A8652A"/>
    <w:rsid w:val="00A9243A"/>
    <w:rsid w:val="00AB6A66"/>
    <w:rsid w:val="00AD0D1D"/>
    <w:rsid w:val="00AD2AC9"/>
    <w:rsid w:val="00AD49F9"/>
    <w:rsid w:val="00AD4CE7"/>
    <w:rsid w:val="00AE0B90"/>
    <w:rsid w:val="00AE366B"/>
    <w:rsid w:val="00AE60E2"/>
    <w:rsid w:val="00AF45A8"/>
    <w:rsid w:val="00AF5BB3"/>
    <w:rsid w:val="00AF7B1B"/>
    <w:rsid w:val="00B63DFD"/>
    <w:rsid w:val="00B730AE"/>
    <w:rsid w:val="00BB3C27"/>
    <w:rsid w:val="00BB46D6"/>
    <w:rsid w:val="00BD5BAB"/>
    <w:rsid w:val="00BE00C4"/>
    <w:rsid w:val="00BE2FDA"/>
    <w:rsid w:val="00BF0156"/>
    <w:rsid w:val="00BF4A2A"/>
    <w:rsid w:val="00BF7D09"/>
    <w:rsid w:val="00C00202"/>
    <w:rsid w:val="00C05E38"/>
    <w:rsid w:val="00C10284"/>
    <w:rsid w:val="00C121BB"/>
    <w:rsid w:val="00C131B1"/>
    <w:rsid w:val="00C178E5"/>
    <w:rsid w:val="00C2037F"/>
    <w:rsid w:val="00C227D8"/>
    <w:rsid w:val="00C2284B"/>
    <w:rsid w:val="00C25CFD"/>
    <w:rsid w:val="00C436B2"/>
    <w:rsid w:val="00C443F1"/>
    <w:rsid w:val="00C63CD5"/>
    <w:rsid w:val="00C70A94"/>
    <w:rsid w:val="00C84A01"/>
    <w:rsid w:val="00C90278"/>
    <w:rsid w:val="00C95F53"/>
    <w:rsid w:val="00CA1388"/>
    <w:rsid w:val="00CA27A3"/>
    <w:rsid w:val="00CB3CB4"/>
    <w:rsid w:val="00CB5EC4"/>
    <w:rsid w:val="00CC1E51"/>
    <w:rsid w:val="00CC7726"/>
    <w:rsid w:val="00CD6795"/>
    <w:rsid w:val="00CE75F8"/>
    <w:rsid w:val="00CF02E8"/>
    <w:rsid w:val="00CF4913"/>
    <w:rsid w:val="00CF7A60"/>
    <w:rsid w:val="00D1356C"/>
    <w:rsid w:val="00D26283"/>
    <w:rsid w:val="00D4334F"/>
    <w:rsid w:val="00D4656E"/>
    <w:rsid w:val="00D57828"/>
    <w:rsid w:val="00D7575E"/>
    <w:rsid w:val="00D95E54"/>
    <w:rsid w:val="00DA03B5"/>
    <w:rsid w:val="00DA0FB6"/>
    <w:rsid w:val="00DA1729"/>
    <w:rsid w:val="00DA21BD"/>
    <w:rsid w:val="00DA38A2"/>
    <w:rsid w:val="00DA5261"/>
    <w:rsid w:val="00DA5489"/>
    <w:rsid w:val="00DA6787"/>
    <w:rsid w:val="00DB258C"/>
    <w:rsid w:val="00DB6542"/>
    <w:rsid w:val="00DC4051"/>
    <w:rsid w:val="00DE14FB"/>
    <w:rsid w:val="00DE70D9"/>
    <w:rsid w:val="00E163F6"/>
    <w:rsid w:val="00E23E87"/>
    <w:rsid w:val="00E25E4A"/>
    <w:rsid w:val="00E31B11"/>
    <w:rsid w:val="00E36A51"/>
    <w:rsid w:val="00E502C6"/>
    <w:rsid w:val="00E50ABE"/>
    <w:rsid w:val="00E54163"/>
    <w:rsid w:val="00E610AB"/>
    <w:rsid w:val="00E74041"/>
    <w:rsid w:val="00E855C8"/>
    <w:rsid w:val="00E94B6C"/>
    <w:rsid w:val="00E95C0E"/>
    <w:rsid w:val="00EB0B8D"/>
    <w:rsid w:val="00EB1D15"/>
    <w:rsid w:val="00EB2E34"/>
    <w:rsid w:val="00ED0EC5"/>
    <w:rsid w:val="00EE14A9"/>
    <w:rsid w:val="00EF0D88"/>
    <w:rsid w:val="00F00235"/>
    <w:rsid w:val="00F05E03"/>
    <w:rsid w:val="00F06CD4"/>
    <w:rsid w:val="00F13F95"/>
    <w:rsid w:val="00F25080"/>
    <w:rsid w:val="00F26DD5"/>
    <w:rsid w:val="00F34016"/>
    <w:rsid w:val="00F4624C"/>
    <w:rsid w:val="00F60EB0"/>
    <w:rsid w:val="00F814A9"/>
    <w:rsid w:val="00F92480"/>
    <w:rsid w:val="00FA7A88"/>
    <w:rsid w:val="00FB1FAA"/>
    <w:rsid w:val="00FB4E7D"/>
    <w:rsid w:val="00FC3129"/>
    <w:rsid w:val="00FD136D"/>
    <w:rsid w:val="00FD7546"/>
    <w:rsid w:val="00FE05A9"/>
    <w:rsid w:val="00FE091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6B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99"/>
    <w:rsid w:val="009B445B"/>
    <w:pPr>
      <w:tabs>
        <w:tab w:val="left" w:pos="384"/>
      </w:tabs>
      <w:spacing w:after="240" w:line="240" w:lineRule="auto"/>
      <w:ind w:left="384" w:hanging="384"/>
    </w:pPr>
  </w:style>
  <w:style w:type="paragraph" w:styleId="BalloonText">
    <w:name w:val="Balloon Text"/>
    <w:basedOn w:val="Normal"/>
    <w:link w:val="BalloonTextChar"/>
    <w:uiPriority w:val="99"/>
    <w:semiHidden/>
    <w:rsid w:val="003D4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510"/>
    <w:rPr>
      <w:rFonts w:ascii="Tahoma" w:hAnsi="Tahoma" w:cs="Tahoma"/>
      <w:sz w:val="16"/>
      <w:szCs w:val="16"/>
    </w:rPr>
  </w:style>
  <w:style w:type="paragraph" w:styleId="Header">
    <w:name w:val="header"/>
    <w:basedOn w:val="Normal"/>
    <w:link w:val="HeaderChar"/>
    <w:uiPriority w:val="99"/>
    <w:rsid w:val="002D45A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D45A4"/>
    <w:rPr>
      <w:rFonts w:cs="Times New Roman"/>
    </w:rPr>
  </w:style>
  <w:style w:type="paragraph" w:styleId="Footer">
    <w:name w:val="footer"/>
    <w:basedOn w:val="Normal"/>
    <w:link w:val="FooterChar"/>
    <w:uiPriority w:val="99"/>
    <w:rsid w:val="002D45A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D45A4"/>
    <w:rPr>
      <w:rFonts w:cs="Times New Roman"/>
    </w:rPr>
  </w:style>
  <w:style w:type="paragraph" w:styleId="ListParagraph">
    <w:name w:val="List Paragraph"/>
    <w:basedOn w:val="Normal"/>
    <w:uiPriority w:val="99"/>
    <w:qFormat/>
    <w:rsid w:val="000D097A"/>
    <w:pPr>
      <w:ind w:left="720"/>
      <w:contextualSpacing/>
    </w:pPr>
  </w:style>
  <w:style w:type="character" w:styleId="Hyperlink">
    <w:name w:val="Hyperlink"/>
    <w:basedOn w:val="DefaultParagraphFont"/>
    <w:uiPriority w:val="99"/>
    <w:rsid w:val="0065683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74826705">
      <w:marLeft w:val="0"/>
      <w:marRight w:val="0"/>
      <w:marTop w:val="0"/>
      <w:marBottom w:val="0"/>
      <w:divBdr>
        <w:top w:val="none" w:sz="0" w:space="0" w:color="auto"/>
        <w:left w:val="none" w:sz="0" w:space="0" w:color="auto"/>
        <w:bottom w:val="none" w:sz="0" w:space="0" w:color="auto"/>
        <w:right w:val="none" w:sz="0" w:space="0" w:color="auto"/>
      </w:divBdr>
    </w:div>
    <w:div w:id="1274826706">
      <w:marLeft w:val="0"/>
      <w:marRight w:val="0"/>
      <w:marTop w:val="0"/>
      <w:marBottom w:val="0"/>
      <w:divBdr>
        <w:top w:val="none" w:sz="0" w:space="0" w:color="auto"/>
        <w:left w:val="none" w:sz="0" w:space="0" w:color="auto"/>
        <w:bottom w:val="none" w:sz="0" w:space="0" w:color="auto"/>
        <w:right w:val="none" w:sz="0" w:space="0" w:color="auto"/>
      </w:divBdr>
    </w:div>
    <w:div w:id="1274826707">
      <w:marLeft w:val="0"/>
      <w:marRight w:val="0"/>
      <w:marTop w:val="0"/>
      <w:marBottom w:val="0"/>
      <w:divBdr>
        <w:top w:val="none" w:sz="0" w:space="0" w:color="auto"/>
        <w:left w:val="none" w:sz="0" w:space="0" w:color="auto"/>
        <w:bottom w:val="none" w:sz="0" w:space="0" w:color="auto"/>
        <w:right w:val="none" w:sz="0" w:space="0" w:color="auto"/>
      </w:divBdr>
    </w:div>
    <w:div w:id="1274826708">
      <w:marLeft w:val="0"/>
      <w:marRight w:val="0"/>
      <w:marTop w:val="0"/>
      <w:marBottom w:val="0"/>
      <w:divBdr>
        <w:top w:val="none" w:sz="0" w:space="0" w:color="auto"/>
        <w:left w:val="none" w:sz="0" w:space="0" w:color="auto"/>
        <w:bottom w:val="none" w:sz="0" w:space="0" w:color="auto"/>
        <w:right w:val="none" w:sz="0" w:space="0" w:color="auto"/>
      </w:divBdr>
    </w:div>
    <w:div w:id="1274826709">
      <w:marLeft w:val="0"/>
      <w:marRight w:val="0"/>
      <w:marTop w:val="0"/>
      <w:marBottom w:val="0"/>
      <w:divBdr>
        <w:top w:val="none" w:sz="0" w:space="0" w:color="auto"/>
        <w:left w:val="none" w:sz="0" w:space="0" w:color="auto"/>
        <w:bottom w:val="none" w:sz="0" w:space="0" w:color="auto"/>
        <w:right w:val="none" w:sz="0" w:space="0" w:color="auto"/>
      </w:divBdr>
    </w:div>
    <w:div w:id="1274826710">
      <w:marLeft w:val="0"/>
      <w:marRight w:val="0"/>
      <w:marTop w:val="0"/>
      <w:marBottom w:val="0"/>
      <w:divBdr>
        <w:top w:val="none" w:sz="0" w:space="0" w:color="auto"/>
        <w:left w:val="none" w:sz="0" w:space="0" w:color="auto"/>
        <w:bottom w:val="none" w:sz="0" w:space="0" w:color="auto"/>
        <w:right w:val="none" w:sz="0" w:space="0" w:color="auto"/>
      </w:divBdr>
    </w:div>
    <w:div w:id="1274826711">
      <w:marLeft w:val="0"/>
      <w:marRight w:val="0"/>
      <w:marTop w:val="0"/>
      <w:marBottom w:val="0"/>
      <w:divBdr>
        <w:top w:val="none" w:sz="0" w:space="0" w:color="auto"/>
        <w:left w:val="none" w:sz="0" w:space="0" w:color="auto"/>
        <w:bottom w:val="none" w:sz="0" w:space="0" w:color="auto"/>
        <w:right w:val="none" w:sz="0" w:space="0" w:color="auto"/>
      </w:divBdr>
    </w:div>
    <w:div w:id="1274826712">
      <w:marLeft w:val="0"/>
      <w:marRight w:val="0"/>
      <w:marTop w:val="0"/>
      <w:marBottom w:val="0"/>
      <w:divBdr>
        <w:top w:val="none" w:sz="0" w:space="0" w:color="auto"/>
        <w:left w:val="none" w:sz="0" w:space="0" w:color="auto"/>
        <w:bottom w:val="none" w:sz="0" w:space="0" w:color="auto"/>
        <w:right w:val="none" w:sz="0" w:space="0" w:color="auto"/>
      </w:divBdr>
    </w:div>
    <w:div w:id="1274826713">
      <w:marLeft w:val="0"/>
      <w:marRight w:val="0"/>
      <w:marTop w:val="0"/>
      <w:marBottom w:val="0"/>
      <w:divBdr>
        <w:top w:val="none" w:sz="0" w:space="0" w:color="auto"/>
        <w:left w:val="none" w:sz="0" w:space="0" w:color="auto"/>
        <w:bottom w:val="none" w:sz="0" w:space="0" w:color="auto"/>
        <w:right w:val="none" w:sz="0" w:space="0" w:color="auto"/>
      </w:divBdr>
    </w:div>
    <w:div w:id="1274826714">
      <w:marLeft w:val="0"/>
      <w:marRight w:val="0"/>
      <w:marTop w:val="0"/>
      <w:marBottom w:val="0"/>
      <w:divBdr>
        <w:top w:val="none" w:sz="0" w:space="0" w:color="auto"/>
        <w:left w:val="none" w:sz="0" w:space="0" w:color="auto"/>
        <w:bottom w:val="none" w:sz="0" w:space="0" w:color="auto"/>
        <w:right w:val="none" w:sz="0" w:space="0" w:color="auto"/>
      </w:divBdr>
    </w:div>
    <w:div w:id="1274826715">
      <w:marLeft w:val="0"/>
      <w:marRight w:val="0"/>
      <w:marTop w:val="0"/>
      <w:marBottom w:val="0"/>
      <w:divBdr>
        <w:top w:val="none" w:sz="0" w:space="0" w:color="auto"/>
        <w:left w:val="none" w:sz="0" w:space="0" w:color="auto"/>
        <w:bottom w:val="none" w:sz="0" w:space="0" w:color="auto"/>
        <w:right w:val="none" w:sz="0" w:space="0" w:color="auto"/>
      </w:divBdr>
    </w:div>
    <w:div w:id="1274826716">
      <w:marLeft w:val="0"/>
      <w:marRight w:val="0"/>
      <w:marTop w:val="0"/>
      <w:marBottom w:val="0"/>
      <w:divBdr>
        <w:top w:val="none" w:sz="0" w:space="0" w:color="auto"/>
        <w:left w:val="none" w:sz="0" w:space="0" w:color="auto"/>
        <w:bottom w:val="none" w:sz="0" w:space="0" w:color="auto"/>
        <w:right w:val="none" w:sz="0" w:space="0" w:color="auto"/>
      </w:divBdr>
    </w:div>
    <w:div w:id="1274826717">
      <w:marLeft w:val="0"/>
      <w:marRight w:val="0"/>
      <w:marTop w:val="0"/>
      <w:marBottom w:val="0"/>
      <w:divBdr>
        <w:top w:val="none" w:sz="0" w:space="0" w:color="auto"/>
        <w:left w:val="none" w:sz="0" w:space="0" w:color="auto"/>
        <w:bottom w:val="none" w:sz="0" w:space="0" w:color="auto"/>
        <w:right w:val="none" w:sz="0" w:space="0" w:color="auto"/>
      </w:divBdr>
      <w:divsChild>
        <w:div w:id="1274826723">
          <w:marLeft w:val="0"/>
          <w:marRight w:val="0"/>
          <w:marTop w:val="0"/>
          <w:marBottom w:val="0"/>
          <w:divBdr>
            <w:top w:val="none" w:sz="0" w:space="0" w:color="auto"/>
            <w:left w:val="none" w:sz="0" w:space="0" w:color="auto"/>
            <w:bottom w:val="none" w:sz="0" w:space="0" w:color="auto"/>
            <w:right w:val="none" w:sz="0" w:space="0" w:color="auto"/>
          </w:divBdr>
        </w:div>
      </w:divsChild>
    </w:div>
    <w:div w:id="1274826718">
      <w:marLeft w:val="0"/>
      <w:marRight w:val="0"/>
      <w:marTop w:val="0"/>
      <w:marBottom w:val="0"/>
      <w:divBdr>
        <w:top w:val="none" w:sz="0" w:space="0" w:color="auto"/>
        <w:left w:val="none" w:sz="0" w:space="0" w:color="auto"/>
        <w:bottom w:val="none" w:sz="0" w:space="0" w:color="auto"/>
        <w:right w:val="none" w:sz="0" w:space="0" w:color="auto"/>
      </w:divBdr>
      <w:divsChild>
        <w:div w:id="1274826722">
          <w:marLeft w:val="0"/>
          <w:marRight w:val="0"/>
          <w:marTop w:val="0"/>
          <w:marBottom w:val="0"/>
          <w:divBdr>
            <w:top w:val="none" w:sz="0" w:space="0" w:color="auto"/>
            <w:left w:val="none" w:sz="0" w:space="0" w:color="auto"/>
            <w:bottom w:val="none" w:sz="0" w:space="0" w:color="auto"/>
            <w:right w:val="none" w:sz="0" w:space="0" w:color="auto"/>
          </w:divBdr>
        </w:div>
      </w:divsChild>
    </w:div>
    <w:div w:id="1274826719">
      <w:marLeft w:val="0"/>
      <w:marRight w:val="0"/>
      <w:marTop w:val="0"/>
      <w:marBottom w:val="0"/>
      <w:divBdr>
        <w:top w:val="none" w:sz="0" w:space="0" w:color="auto"/>
        <w:left w:val="none" w:sz="0" w:space="0" w:color="auto"/>
        <w:bottom w:val="none" w:sz="0" w:space="0" w:color="auto"/>
        <w:right w:val="none" w:sz="0" w:space="0" w:color="auto"/>
      </w:divBdr>
    </w:div>
    <w:div w:id="1274826720">
      <w:marLeft w:val="0"/>
      <w:marRight w:val="0"/>
      <w:marTop w:val="0"/>
      <w:marBottom w:val="0"/>
      <w:divBdr>
        <w:top w:val="none" w:sz="0" w:space="0" w:color="auto"/>
        <w:left w:val="none" w:sz="0" w:space="0" w:color="auto"/>
        <w:bottom w:val="none" w:sz="0" w:space="0" w:color="auto"/>
        <w:right w:val="none" w:sz="0" w:space="0" w:color="auto"/>
      </w:divBdr>
    </w:div>
    <w:div w:id="1274826721">
      <w:marLeft w:val="0"/>
      <w:marRight w:val="0"/>
      <w:marTop w:val="0"/>
      <w:marBottom w:val="0"/>
      <w:divBdr>
        <w:top w:val="none" w:sz="0" w:space="0" w:color="auto"/>
        <w:left w:val="none" w:sz="0" w:space="0" w:color="auto"/>
        <w:bottom w:val="none" w:sz="0" w:space="0" w:color="auto"/>
        <w:right w:val="none" w:sz="0" w:space="0" w:color="auto"/>
      </w:divBdr>
    </w:div>
    <w:div w:id="1274826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coulombier.vincent@ghicl.net" TargetMode="External"/><Relationship Id="rId3" Type="http://schemas.openxmlformats.org/officeDocument/2006/relationships/settings" Target="settings.xml"/><Relationship Id="rId7" Type="http://schemas.openxmlformats.org/officeDocument/2006/relationships/hyperlink" Target="mailto:tristan.pascart@hotmail.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ouvenagel.eric@ghic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985</Words>
  <Characters>5420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AFFECTIONS THYROIDIENNES AUTO-IMMUNES ET BIOTHERAPIES</dc:title>
  <dc:subject/>
  <dc:creator>Tristan</dc:creator>
  <cp:keywords/>
  <dc:description/>
  <cp:lastModifiedBy>Yannick Darrats</cp:lastModifiedBy>
  <cp:revision>2</cp:revision>
  <dcterms:created xsi:type="dcterms:W3CDTF">2013-09-23T11:48:00Z</dcterms:created>
  <dcterms:modified xsi:type="dcterms:W3CDTF">2013-09-23T11:48:00Z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id="WkyiCEqJ"/&gt;&lt;style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value="false"/&gt;&lt;pref name="noteType" value="0"/&gt;&lt;/prefs&gt;&lt;/data&gt;</vt:lpwstr>
  </property>
</Properties>
</file>