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38710" w14:textId="77777777" w:rsidR="00863AA6" w:rsidRPr="00462BCC" w:rsidRDefault="00863AA6" w:rsidP="00863AA6">
      <w:pPr>
        <w:spacing w:line="360" w:lineRule="auto"/>
        <w:jc w:val="both"/>
        <w:rPr>
          <w:rFonts w:ascii="Times New Roman" w:hAnsi="Times New Roman"/>
          <w:b/>
          <w:sz w:val="20"/>
          <w:szCs w:val="20"/>
          <w:u w:val="single"/>
        </w:rPr>
      </w:pPr>
      <w:r w:rsidRPr="00462BCC">
        <w:rPr>
          <w:rFonts w:ascii="Times New Roman" w:hAnsi="Times New Roman"/>
          <w:b/>
          <w:sz w:val="20"/>
          <w:szCs w:val="20"/>
          <w:u w:val="single"/>
        </w:rPr>
        <w:t>Rationnel</w:t>
      </w:r>
      <w:r w:rsidRPr="00462BCC">
        <w:rPr>
          <w:rFonts w:ascii="Times New Roman" w:hAnsi="Times New Roman"/>
          <w:b/>
          <w:sz w:val="20"/>
          <w:szCs w:val="20"/>
        </w:rPr>
        <w:t> :</w:t>
      </w:r>
    </w:p>
    <w:p w14:paraId="1F856EC1" w14:textId="255EE928" w:rsidR="00642BF0" w:rsidRPr="00462BCC" w:rsidRDefault="00642BF0" w:rsidP="00863AA6">
      <w:pPr>
        <w:spacing w:line="360" w:lineRule="auto"/>
        <w:jc w:val="both"/>
        <w:rPr>
          <w:rFonts w:ascii="Times New Roman" w:hAnsi="Times New Roman"/>
          <w:sz w:val="20"/>
          <w:szCs w:val="20"/>
        </w:rPr>
      </w:pPr>
      <w:r w:rsidRPr="00462BCC">
        <w:rPr>
          <w:rFonts w:ascii="Times New Roman" w:hAnsi="Times New Roman"/>
          <w:sz w:val="20"/>
          <w:szCs w:val="20"/>
        </w:rPr>
        <w:t xml:space="preserve">La mortalité du </w:t>
      </w:r>
      <w:r w:rsidR="00FB286D">
        <w:rPr>
          <w:rFonts w:ascii="Times New Roman" w:hAnsi="Times New Roman"/>
          <w:sz w:val="20"/>
          <w:szCs w:val="20"/>
        </w:rPr>
        <w:t>lupus érythémateux systémique (</w:t>
      </w:r>
      <w:r w:rsidRPr="00462BCC">
        <w:rPr>
          <w:rFonts w:ascii="Times New Roman" w:hAnsi="Times New Roman"/>
          <w:sz w:val="20"/>
          <w:szCs w:val="20"/>
        </w:rPr>
        <w:t>LES</w:t>
      </w:r>
      <w:r w:rsidR="00FB286D">
        <w:rPr>
          <w:rFonts w:ascii="Times New Roman" w:hAnsi="Times New Roman"/>
          <w:sz w:val="20"/>
          <w:szCs w:val="20"/>
        </w:rPr>
        <w:t>)</w:t>
      </w:r>
      <w:r w:rsidR="001C7268">
        <w:rPr>
          <w:rFonts w:ascii="Times New Roman" w:hAnsi="Times New Roman"/>
          <w:sz w:val="20"/>
          <w:szCs w:val="20"/>
        </w:rPr>
        <w:t xml:space="preserve"> reste élevée. </w:t>
      </w:r>
      <w:r w:rsidRPr="00462BCC">
        <w:rPr>
          <w:rFonts w:ascii="Times New Roman" w:hAnsi="Times New Roman"/>
          <w:sz w:val="20"/>
          <w:szCs w:val="20"/>
        </w:rPr>
        <w:t xml:space="preserve">Parmi les </w:t>
      </w:r>
      <w:r w:rsidR="001C7268">
        <w:rPr>
          <w:rFonts w:ascii="Times New Roman" w:hAnsi="Times New Roman"/>
          <w:sz w:val="20"/>
          <w:szCs w:val="20"/>
        </w:rPr>
        <w:t xml:space="preserve">trois </w:t>
      </w:r>
      <w:r w:rsidRPr="00462BCC">
        <w:rPr>
          <w:rFonts w:ascii="Times New Roman" w:hAnsi="Times New Roman"/>
          <w:sz w:val="20"/>
          <w:szCs w:val="20"/>
        </w:rPr>
        <w:t>premières causes de morbi-mortalité, le risque infectieux est prépondérant (avec les complications rénales et le risque cardio-vasculaire).</w:t>
      </w:r>
    </w:p>
    <w:p w14:paraId="0EF3CD24" w14:textId="42FE9587" w:rsidR="00642BF0" w:rsidRPr="00462BCC" w:rsidRDefault="00642BF0" w:rsidP="00863AA6">
      <w:pPr>
        <w:spacing w:line="360" w:lineRule="auto"/>
        <w:jc w:val="both"/>
        <w:rPr>
          <w:rFonts w:ascii="Times New Roman" w:hAnsi="Times New Roman"/>
          <w:sz w:val="20"/>
          <w:szCs w:val="20"/>
        </w:rPr>
      </w:pPr>
      <w:r w:rsidRPr="00462BCC">
        <w:rPr>
          <w:rFonts w:ascii="Times New Roman" w:hAnsi="Times New Roman"/>
          <w:sz w:val="20"/>
          <w:szCs w:val="20"/>
        </w:rPr>
        <w:t>Le LES est une maladie multifactorielle avec une implication plus ou moins grande de facteurs génétiques et environnementaux. Certaines formes de lupus à forte composante génétique font intervenir des voies de l’immunité innée et adaptatives impliquées dans les défenses anti-infectieuses (voies de l’interféron, voie du complément, voie de la mort cellulaire). D’un autre point de vu, certains déficits immunitaires primitifs (DIPs) se caractérisent par des manifestations auto-immunes avec une ou plusieurs composantes de la lignée lupique (syndrome ALPS, cert</w:t>
      </w:r>
      <w:r w:rsidR="00017560" w:rsidRPr="00462BCC">
        <w:rPr>
          <w:rFonts w:ascii="Times New Roman" w:hAnsi="Times New Roman"/>
          <w:sz w:val="20"/>
          <w:szCs w:val="20"/>
        </w:rPr>
        <w:t>ain</w:t>
      </w:r>
      <w:r w:rsidRPr="00462BCC">
        <w:rPr>
          <w:rFonts w:ascii="Times New Roman" w:hAnsi="Times New Roman"/>
          <w:sz w:val="20"/>
          <w:szCs w:val="20"/>
        </w:rPr>
        <w:t>s</w:t>
      </w:r>
      <w:r w:rsidR="00017560" w:rsidRPr="00462BCC">
        <w:rPr>
          <w:rFonts w:ascii="Times New Roman" w:hAnsi="Times New Roman"/>
          <w:sz w:val="20"/>
          <w:szCs w:val="20"/>
        </w:rPr>
        <w:t xml:space="preserve"> déficits immunitaires à prédominance humorale comme le</w:t>
      </w:r>
      <w:r w:rsidRPr="00462BCC">
        <w:rPr>
          <w:rFonts w:ascii="Times New Roman" w:hAnsi="Times New Roman"/>
          <w:sz w:val="20"/>
          <w:szCs w:val="20"/>
        </w:rPr>
        <w:t xml:space="preserve"> DICV</w:t>
      </w:r>
      <w:r w:rsidR="00017560" w:rsidRPr="00462BCC">
        <w:rPr>
          <w:rFonts w:ascii="Times New Roman" w:hAnsi="Times New Roman"/>
          <w:sz w:val="20"/>
          <w:szCs w:val="20"/>
        </w:rPr>
        <w:t xml:space="preserve"> </w:t>
      </w:r>
      <w:r w:rsidR="00055AE9" w:rsidRPr="00462BCC">
        <w:rPr>
          <w:rFonts w:ascii="Times New Roman" w:hAnsi="Times New Roman"/>
          <w:sz w:val="20"/>
          <w:szCs w:val="20"/>
        </w:rPr>
        <w:t xml:space="preserve">(rare, &lt;1% des DICV) </w:t>
      </w:r>
      <w:r w:rsidR="00017560" w:rsidRPr="00462BCC">
        <w:rPr>
          <w:rFonts w:ascii="Times New Roman" w:hAnsi="Times New Roman"/>
          <w:sz w:val="20"/>
          <w:szCs w:val="20"/>
        </w:rPr>
        <w:t>ou le syndrome hyper-IgM</w:t>
      </w:r>
      <w:r w:rsidRPr="00462BCC">
        <w:rPr>
          <w:rFonts w:ascii="Times New Roman" w:hAnsi="Times New Roman"/>
          <w:sz w:val="20"/>
          <w:szCs w:val="20"/>
        </w:rPr>
        <w:t xml:space="preserve">, certaines femmes porteuses de gènes associés aux granulomatoses chroniques héréditaires).  </w:t>
      </w:r>
    </w:p>
    <w:p w14:paraId="36C38FF2" w14:textId="29286F10" w:rsidR="00642BF0" w:rsidRPr="00462BCC" w:rsidRDefault="00642BF0" w:rsidP="00863AA6">
      <w:pPr>
        <w:spacing w:line="360" w:lineRule="auto"/>
        <w:jc w:val="both"/>
        <w:rPr>
          <w:rFonts w:ascii="Times New Roman" w:hAnsi="Times New Roman"/>
          <w:sz w:val="20"/>
          <w:szCs w:val="20"/>
        </w:rPr>
      </w:pPr>
      <w:r w:rsidRPr="00462BCC">
        <w:rPr>
          <w:rFonts w:ascii="Times New Roman" w:hAnsi="Times New Roman"/>
          <w:sz w:val="20"/>
          <w:szCs w:val="20"/>
        </w:rPr>
        <w:t>Les données de la littérature concernant le risque infectieux au cours du lupus</w:t>
      </w:r>
      <w:r w:rsidR="00017560" w:rsidRPr="00462BCC">
        <w:rPr>
          <w:rFonts w:ascii="Times New Roman" w:hAnsi="Times New Roman"/>
          <w:sz w:val="20"/>
          <w:szCs w:val="20"/>
        </w:rPr>
        <w:t xml:space="preserve"> en rapport avec un défaut de l’immunité sous-jacent sont éparses. </w:t>
      </w:r>
    </w:p>
    <w:p w14:paraId="7DBC8567" w14:textId="0A549D06" w:rsidR="00863AA6" w:rsidRPr="00462BCC" w:rsidRDefault="00055AE9" w:rsidP="00055AE9">
      <w:pPr>
        <w:spacing w:after="0" w:line="360" w:lineRule="auto"/>
        <w:jc w:val="both"/>
        <w:rPr>
          <w:rFonts w:ascii="Times New Roman" w:hAnsi="Times New Roman"/>
          <w:sz w:val="20"/>
          <w:szCs w:val="20"/>
        </w:rPr>
      </w:pPr>
      <w:r w:rsidRPr="00462BCC">
        <w:rPr>
          <w:rFonts w:ascii="Times New Roman" w:hAnsi="Times New Roman"/>
          <w:sz w:val="20"/>
          <w:szCs w:val="20"/>
        </w:rPr>
        <w:t>1. Concernant la</w:t>
      </w:r>
      <w:r w:rsidRPr="00462BCC">
        <w:rPr>
          <w:rFonts w:ascii="Times New Roman" w:hAnsi="Times New Roman"/>
          <w:b/>
          <w:sz w:val="20"/>
          <w:szCs w:val="20"/>
        </w:rPr>
        <w:t xml:space="preserve"> lymphopénie</w:t>
      </w:r>
      <w:r w:rsidRPr="00462BCC">
        <w:rPr>
          <w:rFonts w:ascii="Times New Roman" w:hAnsi="Times New Roman"/>
          <w:sz w:val="20"/>
          <w:szCs w:val="20"/>
        </w:rPr>
        <w:t> : elle</w:t>
      </w:r>
      <w:r w:rsidR="00642BF0" w:rsidRPr="00462BCC">
        <w:rPr>
          <w:rFonts w:ascii="Times New Roman" w:hAnsi="Times New Roman"/>
          <w:sz w:val="20"/>
          <w:szCs w:val="20"/>
        </w:rPr>
        <w:t xml:space="preserve"> est fréquente au cours du lupus érythémateux systémique (LES) et profonde (&lt; 500/mm3) dans 10 % des cas. Elle touche principalement les lymphocytes T, notamment CD4+. Les mécanismes physiopathologiques sont complexes, faisant intervenir des anticorps lymphocytotoxiques, un excès d’apoptose, une sensibilité accrue à la lyse par le complément, de même qu’une répression de la lymphopoïèse et des phénomènes de séquestration lymphocytaire. La lymphopénie dans le LES est indépendante des autres cytopénies et des immunosuppresseurs reçus. Elle est associée à l’activité de la maladie, au risque de poussée lupique et aux séquelles viscérales. Le risque infectieux est principalement bactérien, et une lymphopénie &lt; 1 G/L est un facteur de risque indépendant de survenue d’infections sévères bactériennes. </w:t>
      </w:r>
    </w:p>
    <w:p w14:paraId="4DC9B549" w14:textId="466211E9" w:rsidR="00863AA6" w:rsidRPr="00462BCC" w:rsidRDefault="00863AA6" w:rsidP="00642BF0">
      <w:pPr>
        <w:spacing w:line="360" w:lineRule="auto"/>
        <w:jc w:val="both"/>
        <w:rPr>
          <w:rFonts w:ascii="Times New Roman" w:hAnsi="Times New Roman"/>
          <w:sz w:val="20"/>
          <w:szCs w:val="20"/>
        </w:rPr>
      </w:pPr>
      <w:r w:rsidRPr="00462BCC">
        <w:rPr>
          <w:rFonts w:ascii="Times New Roman" w:hAnsi="Times New Roman"/>
          <w:sz w:val="20"/>
          <w:szCs w:val="20"/>
        </w:rPr>
        <w:t xml:space="preserve">L’implication clinique de la lymphopénie dans le LES est difficile à interpréter, </w:t>
      </w:r>
      <w:r w:rsidR="001C7268">
        <w:rPr>
          <w:rFonts w:ascii="Times New Roman" w:hAnsi="Times New Roman"/>
          <w:sz w:val="20"/>
          <w:szCs w:val="20"/>
        </w:rPr>
        <w:t xml:space="preserve">et son impact sur le risque infectieux souvent modulé </w:t>
      </w:r>
      <w:r w:rsidRPr="00462BCC">
        <w:rPr>
          <w:rFonts w:ascii="Times New Roman" w:hAnsi="Times New Roman"/>
          <w:sz w:val="20"/>
          <w:szCs w:val="20"/>
        </w:rPr>
        <w:t xml:space="preserve">par les immunosuppresseurs reçus. Il est toutefois démontré que la lymphopénie est un facteur prédictif de poussée lupique et que la profondeur de la lymphopénie constitue un facteur indépendamment corrélé à l’activité du LES et aux atteintes viscérales. </w:t>
      </w:r>
    </w:p>
    <w:p w14:paraId="076EE6A3" w14:textId="5A545E08" w:rsidR="00055AE9" w:rsidRPr="00462BCC" w:rsidRDefault="00055AE9" w:rsidP="00642BF0">
      <w:pPr>
        <w:spacing w:line="360" w:lineRule="auto"/>
        <w:jc w:val="both"/>
        <w:rPr>
          <w:rFonts w:ascii="Times New Roman" w:hAnsi="Times New Roman"/>
          <w:sz w:val="20"/>
          <w:szCs w:val="20"/>
        </w:rPr>
      </w:pPr>
      <w:r w:rsidRPr="00462BCC">
        <w:rPr>
          <w:rFonts w:ascii="Times New Roman" w:hAnsi="Times New Roman"/>
          <w:sz w:val="20"/>
          <w:szCs w:val="20"/>
        </w:rPr>
        <w:t>2. Concernant l’</w:t>
      </w:r>
      <w:r w:rsidRPr="00462BCC">
        <w:rPr>
          <w:rFonts w:ascii="Times New Roman" w:hAnsi="Times New Roman"/>
          <w:b/>
          <w:sz w:val="20"/>
          <w:szCs w:val="20"/>
        </w:rPr>
        <w:t>hypogammaglobulinémie</w:t>
      </w:r>
      <w:r w:rsidRPr="00462BCC">
        <w:rPr>
          <w:rFonts w:ascii="Times New Roman" w:hAnsi="Times New Roman"/>
          <w:sz w:val="20"/>
          <w:szCs w:val="20"/>
        </w:rPr>
        <w:t xml:space="preserve"> : peu de données sont disponibles dans la littérature mais de nombreux cas rapportés de patients lupiques avec déficit humoral sont discutés sous l’angle d’un possible déficit immunitaire sous-jacent ou associé au lupus. </w:t>
      </w:r>
    </w:p>
    <w:p w14:paraId="4E3C95EC" w14:textId="23E2FF1A" w:rsidR="00863AA6" w:rsidRPr="00462BCC" w:rsidRDefault="00055AE9" w:rsidP="00863AA6">
      <w:pPr>
        <w:spacing w:line="360" w:lineRule="auto"/>
        <w:jc w:val="both"/>
        <w:rPr>
          <w:rFonts w:ascii="Times New Roman" w:hAnsi="Times New Roman"/>
          <w:sz w:val="20"/>
          <w:szCs w:val="20"/>
        </w:rPr>
      </w:pPr>
      <w:r w:rsidRPr="00462BCC">
        <w:rPr>
          <w:rFonts w:ascii="Times New Roman" w:hAnsi="Times New Roman"/>
          <w:sz w:val="20"/>
          <w:szCs w:val="20"/>
        </w:rPr>
        <w:t>Dans ce contexte, i</w:t>
      </w:r>
      <w:r w:rsidR="00863AA6" w:rsidRPr="00462BCC">
        <w:rPr>
          <w:rFonts w:ascii="Times New Roman" w:hAnsi="Times New Roman"/>
          <w:sz w:val="20"/>
          <w:szCs w:val="20"/>
        </w:rPr>
        <w:t>l nous parait important de réaliser un travail complémentaire, documentant les implications cliniques d’une lymphopé</w:t>
      </w:r>
      <w:r w:rsidR="00642BF0" w:rsidRPr="00462BCC">
        <w:rPr>
          <w:rFonts w:ascii="Times New Roman" w:hAnsi="Times New Roman"/>
          <w:sz w:val="20"/>
          <w:szCs w:val="20"/>
        </w:rPr>
        <w:t>nie sévère</w:t>
      </w:r>
      <w:r w:rsidRPr="00462BCC">
        <w:rPr>
          <w:rFonts w:ascii="Times New Roman" w:hAnsi="Times New Roman"/>
          <w:sz w:val="20"/>
          <w:szCs w:val="20"/>
        </w:rPr>
        <w:t xml:space="preserve"> et </w:t>
      </w:r>
      <w:r w:rsidR="00642BF0" w:rsidRPr="00462BCC">
        <w:rPr>
          <w:rFonts w:ascii="Times New Roman" w:hAnsi="Times New Roman"/>
          <w:sz w:val="20"/>
          <w:szCs w:val="20"/>
        </w:rPr>
        <w:t>persistante &lt; 500</w:t>
      </w:r>
      <w:r w:rsidR="00863AA6" w:rsidRPr="00462BCC">
        <w:rPr>
          <w:rFonts w:ascii="Times New Roman" w:hAnsi="Times New Roman"/>
          <w:sz w:val="20"/>
          <w:szCs w:val="20"/>
        </w:rPr>
        <w:t>/mm3 au cours du LES</w:t>
      </w:r>
      <w:r w:rsidRPr="00462BCC">
        <w:rPr>
          <w:rFonts w:ascii="Times New Roman" w:hAnsi="Times New Roman"/>
          <w:sz w:val="20"/>
          <w:szCs w:val="20"/>
        </w:rPr>
        <w:t xml:space="preserve"> et/ou de l’existence d’une hypogammaglobulinémie (&lt;5g/L) survenant au cours de la maladie</w:t>
      </w:r>
      <w:r w:rsidR="00863AA6" w:rsidRPr="00462BCC">
        <w:rPr>
          <w:rFonts w:ascii="Times New Roman" w:hAnsi="Times New Roman"/>
          <w:sz w:val="20"/>
          <w:szCs w:val="20"/>
        </w:rPr>
        <w:t>.</w:t>
      </w:r>
    </w:p>
    <w:p w14:paraId="2F422C08" w14:textId="07C3C8FD" w:rsidR="005E2BEE" w:rsidRPr="00462BCC" w:rsidRDefault="00055AE9" w:rsidP="00863AA6">
      <w:pPr>
        <w:spacing w:line="360" w:lineRule="auto"/>
        <w:rPr>
          <w:rFonts w:ascii="Times New Roman" w:hAnsi="Times New Roman"/>
          <w:b/>
          <w:sz w:val="20"/>
          <w:szCs w:val="20"/>
          <w:u w:val="single"/>
        </w:rPr>
      </w:pPr>
      <w:r w:rsidRPr="00462BCC">
        <w:rPr>
          <w:rFonts w:ascii="Times New Roman" w:hAnsi="Times New Roman"/>
          <w:b/>
          <w:sz w:val="20"/>
          <w:szCs w:val="20"/>
          <w:u w:val="single"/>
        </w:rPr>
        <w:t>Hypothèses de l’étude</w:t>
      </w:r>
      <w:r w:rsidR="00863AA6" w:rsidRPr="00462BCC">
        <w:rPr>
          <w:rFonts w:ascii="Times New Roman" w:hAnsi="Times New Roman"/>
          <w:b/>
          <w:sz w:val="20"/>
          <w:szCs w:val="20"/>
          <w:u w:val="single"/>
        </w:rPr>
        <w:t xml:space="preserve"> : </w:t>
      </w:r>
    </w:p>
    <w:p w14:paraId="2D754AD0" w14:textId="191E4339" w:rsidR="00055AE9" w:rsidRPr="00462BCC" w:rsidRDefault="00055AE9" w:rsidP="001C7268">
      <w:pPr>
        <w:pStyle w:val="Paragraphedeliste"/>
        <w:numPr>
          <w:ilvl w:val="0"/>
          <w:numId w:val="1"/>
        </w:numPr>
        <w:spacing w:line="360" w:lineRule="auto"/>
        <w:jc w:val="both"/>
        <w:rPr>
          <w:rFonts w:ascii="Times New Roman" w:hAnsi="Times New Roman"/>
          <w:sz w:val="20"/>
          <w:szCs w:val="20"/>
        </w:rPr>
      </w:pPr>
      <w:r w:rsidRPr="00462BCC">
        <w:rPr>
          <w:rFonts w:ascii="Times New Roman" w:hAnsi="Times New Roman"/>
          <w:b/>
          <w:sz w:val="20"/>
          <w:szCs w:val="20"/>
        </w:rPr>
        <w:t>Hypothèse 1</w:t>
      </w:r>
      <w:r w:rsidR="001C7268">
        <w:rPr>
          <w:rFonts w:ascii="Times New Roman" w:hAnsi="Times New Roman"/>
          <w:sz w:val="20"/>
          <w:szCs w:val="20"/>
        </w:rPr>
        <w:t>: l’</w:t>
      </w:r>
      <w:r w:rsidRPr="00462BCC">
        <w:rPr>
          <w:rFonts w:ascii="Times New Roman" w:hAnsi="Times New Roman"/>
          <w:sz w:val="20"/>
          <w:szCs w:val="20"/>
        </w:rPr>
        <w:t xml:space="preserve">hypogammaglobulinémie sévère au cours du LES: représente un sous-phénotype de lupus ? Peut révéler un DIP ?  Nous souhaitons pour cela colliger les observations de Lupus avec </w:t>
      </w:r>
      <w:r w:rsidR="001C7268">
        <w:rPr>
          <w:rFonts w:ascii="Times New Roman" w:hAnsi="Times New Roman"/>
          <w:sz w:val="20"/>
          <w:szCs w:val="20"/>
        </w:rPr>
        <w:t xml:space="preserve"> h</w:t>
      </w:r>
      <w:r w:rsidRPr="00462BCC">
        <w:rPr>
          <w:rFonts w:ascii="Times New Roman" w:hAnsi="Times New Roman"/>
          <w:sz w:val="20"/>
          <w:szCs w:val="20"/>
        </w:rPr>
        <w:t>ypogammaglobulinémie (Ig&lt;5g/L) persistante.</w:t>
      </w:r>
    </w:p>
    <w:p w14:paraId="7BB52E2E" w14:textId="4988DAB9" w:rsidR="00055AE9" w:rsidRPr="00462BCC" w:rsidRDefault="00055AE9" w:rsidP="001C7268">
      <w:pPr>
        <w:pStyle w:val="Paragraphedeliste"/>
        <w:numPr>
          <w:ilvl w:val="0"/>
          <w:numId w:val="1"/>
        </w:numPr>
        <w:spacing w:line="360" w:lineRule="auto"/>
        <w:jc w:val="both"/>
        <w:rPr>
          <w:rFonts w:ascii="Times New Roman" w:hAnsi="Times New Roman"/>
          <w:sz w:val="20"/>
          <w:szCs w:val="20"/>
        </w:rPr>
      </w:pPr>
      <w:r w:rsidRPr="00462BCC">
        <w:rPr>
          <w:rFonts w:ascii="Times New Roman" w:hAnsi="Times New Roman"/>
          <w:b/>
          <w:sz w:val="20"/>
          <w:szCs w:val="20"/>
        </w:rPr>
        <w:t>Hypothèse 2 </w:t>
      </w:r>
      <w:r w:rsidR="001C7268">
        <w:rPr>
          <w:rFonts w:ascii="Times New Roman" w:hAnsi="Times New Roman"/>
          <w:sz w:val="20"/>
          <w:szCs w:val="20"/>
        </w:rPr>
        <w:t>: la</w:t>
      </w:r>
      <w:r w:rsidRPr="00462BCC">
        <w:rPr>
          <w:rFonts w:ascii="Times New Roman" w:hAnsi="Times New Roman"/>
          <w:sz w:val="20"/>
          <w:szCs w:val="20"/>
        </w:rPr>
        <w:t xml:space="preserve"> lymphopénie au cours du LE</w:t>
      </w:r>
      <w:r w:rsidR="001C7268">
        <w:rPr>
          <w:rFonts w:ascii="Times New Roman" w:hAnsi="Times New Roman"/>
          <w:sz w:val="20"/>
          <w:szCs w:val="20"/>
        </w:rPr>
        <w:t>S: un sous-phénotype de lupus? P</w:t>
      </w:r>
      <w:r w:rsidRPr="00462BCC">
        <w:rPr>
          <w:rFonts w:ascii="Times New Roman" w:hAnsi="Times New Roman"/>
          <w:sz w:val="20"/>
          <w:szCs w:val="20"/>
        </w:rPr>
        <w:t xml:space="preserve">eut révéler un DIP? Nous souhaitons pour cela colliger les observations de lupus avec lymphopénie sévère (&lt; 500/mm3) et persistante (en dehors des poussées et de l’implication exclusive des traitements). </w:t>
      </w:r>
    </w:p>
    <w:p w14:paraId="3359C667" w14:textId="68208C0C" w:rsidR="00055AE9" w:rsidRPr="00462BCC" w:rsidRDefault="00055AE9" w:rsidP="001C7268">
      <w:pPr>
        <w:pStyle w:val="Paragraphedeliste"/>
        <w:numPr>
          <w:ilvl w:val="0"/>
          <w:numId w:val="1"/>
        </w:numPr>
        <w:spacing w:line="360" w:lineRule="auto"/>
        <w:jc w:val="both"/>
        <w:rPr>
          <w:rFonts w:ascii="Times New Roman" w:hAnsi="Times New Roman"/>
          <w:sz w:val="20"/>
          <w:szCs w:val="20"/>
        </w:rPr>
      </w:pPr>
      <w:r w:rsidRPr="00462BCC">
        <w:rPr>
          <w:rFonts w:ascii="Times New Roman" w:hAnsi="Times New Roman"/>
          <w:b/>
          <w:sz w:val="20"/>
          <w:szCs w:val="20"/>
        </w:rPr>
        <w:lastRenderedPageBreak/>
        <w:t>Hypothèse 3 </w:t>
      </w:r>
      <w:r w:rsidRPr="00462BCC">
        <w:rPr>
          <w:rFonts w:ascii="Times New Roman" w:hAnsi="Times New Roman"/>
          <w:sz w:val="20"/>
          <w:szCs w:val="20"/>
        </w:rPr>
        <w:t xml:space="preserve">: il existe des situations de lupus associés avec un </w:t>
      </w:r>
      <w:r w:rsidR="001C7268">
        <w:rPr>
          <w:rFonts w:ascii="Times New Roman" w:hAnsi="Times New Roman"/>
          <w:sz w:val="20"/>
          <w:szCs w:val="20"/>
        </w:rPr>
        <w:t>état de déficience</w:t>
      </w:r>
      <w:r w:rsidRPr="00462BCC">
        <w:rPr>
          <w:rFonts w:ascii="Times New Roman" w:hAnsi="Times New Roman"/>
          <w:sz w:val="20"/>
          <w:szCs w:val="20"/>
        </w:rPr>
        <w:t xml:space="preserve"> immunitaire sous-jacent qui peut se révéler à l’occasion d’infections sévères, opportunistes ou atypique dans leur présentation. Pour cela, nous souhaitons colliger des observations de patients atteints de lupus et qui ont expérimenté une infection particulièrement grave, inattendue, </w:t>
      </w:r>
      <w:r w:rsidR="00462BCC" w:rsidRPr="00462BCC">
        <w:rPr>
          <w:rFonts w:ascii="Times New Roman" w:hAnsi="Times New Roman"/>
          <w:sz w:val="20"/>
          <w:szCs w:val="20"/>
        </w:rPr>
        <w:t>atypique et/ou opportuniste (non directement imputable au traitement).</w:t>
      </w:r>
    </w:p>
    <w:p w14:paraId="34F723A2" w14:textId="35844C45" w:rsidR="00462BCC" w:rsidRDefault="00462BCC" w:rsidP="00462BCC">
      <w:pPr>
        <w:spacing w:line="360" w:lineRule="auto"/>
        <w:rPr>
          <w:rFonts w:ascii="Times New Roman" w:hAnsi="Times New Roman"/>
          <w:sz w:val="20"/>
          <w:szCs w:val="20"/>
        </w:rPr>
      </w:pPr>
      <w:r w:rsidRPr="00462BCC">
        <w:rPr>
          <w:rFonts w:ascii="Times New Roman" w:hAnsi="Times New Roman"/>
          <w:sz w:val="20"/>
          <w:szCs w:val="20"/>
        </w:rPr>
        <w:t xml:space="preserve">L’imputabilité des traitements ou d’autres facteurs d’immunodépression secondaire associés (hémopathies, syndrome néphrotique, entéropathie…) est laissée à l’appréciation du médecin déclarant le cas à ce stade et sera pris en compte dans l’analyse ultérieure.  </w:t>
      </w:r>
    </w:p>
    <w:p w14:paraId="0B5D7577" w14:textId="530BF211" w:rsidR="000C3BD6" w:rsidRPr="00462BCC" w:rsidRDefault="000C3BD6" w:rsidP="00462BCC">
      <w:pPr>
        <w:spacing w:line="360" w:lineRule="auto"/>
        <w:rPr>
          <w:rFonts w:ascii="Times New Roman" w:hAnsi="Times New Roman"/>
          <w:sz w:val="20"/>
          <w:szCs w:val="20"/>
        </w:rPr>
      </w:pPr>
      <w:r>
        <w:rPr>
          <w:rFonts w:ascii="Times New Roman" w:hAnsi="Times New Roman"/>
          <w:sz w:val="20"/>
          <w:szCs w:val="20"/>
        </w:rPr>
        <w:t>Un appariement 1 :1 sur l’âge et le sexe est envisagé secondairement et nous demanderons éventuellement aux centres ayant inclus les cas de nous fournir un nombre équivalent de témoins atteints de lupus à niveau de traitement équivalent sans complications infectieuses ou déficit immunitaire.</w:t>
      </w:r>
    </w:p>
    <w:p w14:paraId="78AD36B0" w14:textId="77777777" w:rsidR="00863AA6" w:rsidRPr="00462BCC" w:rsidRDefault="00863AA6" w:rsidP="00863AA6">
      <w:pPr>
        <w:spacing w:line="360" w:lineRule="auto"/>
        <w:rPr>
          <w:rFonts w:ascii="Times New Roman" w:hAnsi="Times New Roman"/>
          <w:b/>
          <w:sz w:val="20"/>
          <w:szCs w:val="20"/>
          <w:u w:val="single"/>
        </w:rPr>
      </w:pPr>
      <w:r w:rsidRPr="00462BCC">
        <w:rPr>
          <w:rFonts w:ascii="Times New Roman" w:hAnsi="Times New Roman"/>
          <w:b/>
          <w:sz w:val="20"/>
          <w:szCs w:val="20"/>
          <w:u w:val="single"/>
        </w:rPr>
        <w:t>Méthodes :</w:t>
      </w:r>
    </w:p>
    <w:p w14:paraId="2F6ED2F0" w14:textId="06670845" w:rsidR="00462BCC" w:rsidRPr="00462BCC" w:rsidRDefault="00462BCC" w:rsidP="00863AA6">
      <w:pPr>
        <w:spacing w:line="360" w:lineRule="auto"/>
        <w:rPr>
          <w:rFonts w:ascii="Times New Roman" w:hAnsi="Times New Roman"/>
          <w:sz w:val="20"/>
          <w:szCs w:val="20"/>
        </w:rPr>
      </w:pPr>
      <w:r w:rsidRPr="00462BCC">
        <w:rPr>
          <w:rFonts w:ascii="Times New Roman" w:hAnsi="Times New Roman"/>
          <w:sz w:val="20"/>
          <w:szCs w:val="20"/>
        </w:rPr>
        <w:t xml:space="preserve">Nous souhaitons recueillir de façon rétrospective les observations suivantes : </w:t>
      </w:r>
    </w:p>
    <w:p w14:paraId="7ED6178A" w14:textId="77777777" w:rsidR="00462BCC" w:rsidRPr="00462BCC" w:rsidRDefault="00462BCC" w:rsidP="000C3BD6">
      <w:pPr>
        <w:spacing w:after="0"/>
        <w:ind w:left="567"/>
        <w:rPr>
          <w:rFonts w:ascii="Times New Roman" w:hAnsi="Times New Roman"/>
          <w:sz w:val="20"/>
          <w:szCs w:val="20"/>
        </w:rPr>
      </w:pPr>
      <w:r w:rsidRPr="00462BCC">
        <w:rPr>
          <w:rFonts w:ascii="Times New Roman" w:hAnsi="Times New Roman"/>
          <w:sz w:val="20"/>
          <w:szCs w:val="20"/>
        </w:rPr>
        <w:t xml:space="preserve">1°) Des </w:t>
      </w:r>
      <w:r w:rsidRPr="00462BCC">
        <w:rPr>
          <w:rFonts w:ascii="Times New Roman" w:hAnsi="Times New Roman"/>
          <w:b/>
          <w:sz w:val="20"/>
          <w:szCs w:val="20"/>
        </w:rPr>
        <w:t>épisodes infectieux particulièrement sévères</w:t>
      </w:r>
      <w:r w:rsidRPr="00462BCC">
        <w:rPr>
          <w:rFonts w:ascii="Times New Roman" w:hAnsi="Times New Roman"/>
          <w:sz w:val="20"/>
          <w:szCs w:val="20"/>
        </w:rPr>
        <w:t xml:space="preserve"> (passages en réanimation) et/ou opportunistes et/ou atypiques non attribuables aux traitements IS (Cf. liste indicative* ci-dessous). </w:t>
      </w:r>
    </w:p>
    <w:p w14:paraId="7651FD32" w14:textId="77777777" w:rsidR="00462BCC" w:rsidRPr="00462BCC" w:rsidRDefault="00462BCC" w:rsidP="000C3BD6">
      <w:pPr>
        <w:spacing w:after="0"/>
        <w:ind w:left="567"/>
        <w:rPr>
          <w:rFonts w:ascii="Times New Roman" w:hAnsi="Times New Roman"/>
          <w:sz w:val="20"/>
          <w:szCs w:val="20"/>
        </w:rPr>
      </w:pPr>
    </w:p>
    <w:p w14:paraId="426B4EF1" w14:textId="77777777" w:rsidR="00462BCC" w:rsidRPr="00462BCC" w:rsidRDefault="00462BCC" w:rsidP="000C3BD6">
      <w:pPr>
        <w:spacing w:after="0"/>
        <w:ind w:left="567"/>
        <w:rPr>
          <w:rFonts w:ascii="Times New Roman" w:hAnsi="Times New Roman"/>
          <w:sz w:val="20"/>
          <w:szCs w:val="20"/>
        </w:rPr>
      </w:pPr>
      <w:r w:rsidRPr="00462BCC">
        <w:rPr>
          <w:rFonts w:ascii="Times New Roman" w:hAnsi="Times New Roman"/>
          <w:sz w:val="20"/>
          <w:szCs w:val="20"/>
        </w:rPr>
        <w:t xml:space="preserve">2°) et /ou </w:t>
      </w:r>
      <w:r w:rsidRPr="00462BCC">
        <w:rPr>
          <w:rFonts w:ascii="Times New Roman" w:hAnsi="Times New Roman"/>
          <w:b/>
          <w:sz w:val="20"/>
          <w:szCs w:val="20"/>
        </w:rPr>
        <w:t>Une lymphopénie globale &lt;500/mm3 persistante</w:t>
      </w:r>
      <w:r w:rsidRPr="00462BCC">
        <w:rPr>
          <w:rFonts w:ascii="Times New Roman" w:hAnsi="Times New Roman"/>
          <w:sz w:val="20"/>
          <w:szCs w:val="20"/>
        </w:rPr>
        <w:t xml:space="preserve"> (au moins 2 prélèvements à &gt; 3 mois d’intervalle dont une fois en dehors d’une poussée) et non attribuable aux IS. </w:t>
      </w:r>
    </w:p>
    <w:p w14:paraId="29C03D0F" w14:textId="77777777" w:rsidR="00462BCC" w:rsidRPr="00462BCC" w:rsidRDefault="00462BCC" w:rsidP="000C3BD6">
      <w:pPr>
        <w:spacing w:after="0"/>
        <w:ind w:left="567"/>
        <w:rPr>
          <w:rFonts w:ascii="Times New Roman" w:hAnsi="Times New Roman"/>
          <w:sz w:val="20"/>
          <w:szCs w:val="20"/>
        </w:rPr>
      </w:pPr>
    </w:p>
    <w:p w14:paraId="7736A50E" w14:textId="3B9C0763" w:rsidR="00462BCC" w:rsidRDefault="00462BCC" w:rsidP="000C3BD6">
      <w:pPr>
        <w:spacing w:after="0"/>
        <w:ind w:left="567"/>
        <w:rPr>
          <w:rFonts w:ascii="Times New Roman" w:hAnsi="Times New Roman"/>
          <w:sz w:val="20"/>
          <w:szCs w:val="20"/>
        </w:rPr>
      </w:pPr>
      <w:r w:rsidRPr="00462BCC">
        <w:rPr>
          <w:rFonts w:ascii="Times New Roman" w:hAnsi="Times New Roman"/>
          <w:sz w:val="20"/>
          <w:szCs w:val="20"/>
        </w:rPr>
        <w:t xml:space="preserve">3°) et /ou </w:t>
      </w:r>
      <w:r w:rsidRPr="00462BCC">
        <w:rPr>
          <w:rFonts w:ascii="Times New Roman" w:hAnsi="Times New Roman"/>
          <w:b/>
          <w:sz w:val="20"/>
          <w:szCs w:val="20"/>
        </w:rPr>
        <w:t>Une hypogammaglobulinémie persistante</w:t>
      </w:r>
      <w:r w:rsidRPr="00462BCC">
        <w:rPr>
          <w:rFonts w:ascii="Times New Roman" w:hAnsi="Times New Roman"/>
          <w:sz w:val="20"/>
          <w:szCs w:val="20"/>
        </w:rPr>
        <w:t xml:space="preserve"> (IgG totales &lt;5g/L) à deux reprises à &gt; 3 mois d’intervalle et non attribuable aux IS.</w:t>
      </w:r>
    </w:p>
    <w:p w14:paraId="4BBAFFBF" w14:textId="77777777" w:rsidR="00462BCC" w:rsidRDefault="00462BCC" w:rsidP="00462BCC">
      <w:pPr>
        <w:spacing w:after="0" w:line="360" w:lineRule="auto"/>
        <w:rPr>
          <w:rFonts w:ascii="Times New Roman" w:hAnsi="Times New Roman"/>
          <w:sz w:val="20"/>
          <w:szCs w:val="20"/>
        </w:rPr>
      </w:pPr>
    </w:p>
    <w:p w14:paraId="5DE9A0E6" w14:textId="34762AE1" w:rsidR="00660BE1" w:rsidRDefault="00462BCC" w:rsidP="008C673E">
      <w:pPr>
        <w:spacing w:after="0" w:line="360" w:lineRule="auto"/>
        <w:rPr>
          <w:rFonts w:ascii="Times New Roman" w:hAnsi="Times New Roman"/>
          <w:sz w:val="20"/>
          <w:szCs w:val="20"/>
        </w:rPr>
      </w:pPr>
      <w:r>
        <w:rPr>
          <w:rFonts w:ascii="Times New Roman" w:hAnsi="Times New Roman"/>
          <w:sz w:val="20"/>
          <w:szCs w:val="20"/>
        </w:rPr>
        <w:t xml:space="preserve">Nous vous remercions pour votre contribution à ce travail. </w:t>
      </w:r>
    </w:p>
    <w:p w14:paraId="2DABD77A" w14:textId="77777777" w:rsidR="008C673E" w:rsidRDefault="008C673E" w:rsidP="008C673E">
      <w:pPr>
        <w:spacing w:after="0" w:line="360" w:lineRule="auto"/>
        <w:rPr>
          <w:rFonts w:ascii="Times New Roman" w:hAnsi="Times New Roman"/>
          <w:i/>
          <w:sz w:val="20"/>
          <w:szCs w:val="20"/>
        </w:rPr>
      </w:pPr>
    </w:p>
    <w:p w14:paraId="3CD1D2A1" w14:textId="522CD327" w:rsidR="00462BCC" w:rsidRPr="00462BCC" w:rsidRDefault="00462BCC" w:rsidP="00462BCC">
      <w:pPr>
        <w:spacing w:line="360" w:lineRule="auto"/>
        <w:rPr>
          <w:rFonts w:ascii="Times New Roman" w:hAnsi="Times New Roman"/>
          <w:b/>
          <w:sz w:val="20"/>
          <w:szCs w:val="20"/>
        </w:rPr>
      </w:pPr>
      <w:r>
        <w:rPr>
          <w:rFonts w:ascii="Times New Roman" w:hAnsi="Times New Roman"/>
          <w:b/>
          <w:sz w:val="20"/>
          <w:szCs w:val="20"/>
        </w:rPr>
        <w:t>*</w:t>
      </w:r>
      <w:r w:rsidRPr="00462BCC">
        <w:rPr>
          <w:rFonts w:ascii="Times New Roman" w:hAnsi="Times New Roman"/>
          <w:b/>
          <w:sz w:val="20"/>
          <w:szCs w:val="20"/>
        </w:rPr>
        <w:t>Liste indicative des infections potentiellement visées :</w:t>
      </w:r>
    </w:p>
    <w:p w14:paraId="758BC456" w14:textId="77777777" w:rsidR="000C3BD6" w:rsidRDefault="000C3BD6" w:rsidP="000C3BD6">
      <w:pPr>
        <w:spacing w:after="0" w:line="360" w:lineRule="auto"/>
        <w:rPr>
          <w:rFonts w:ascii="Times New Roman" w:hAnsi="Times New Roman"/>
          <w:b/>
          <w:sz w:val="20"/>
          <w:szCs w:val="20"/>
        </w:rPr>
      </w:pPr>
      <w:r w:rsidRPr="00462BCC">
        <w:rPr>
          <w:rFonts w:ascii="Times New Roman" w:hAnsi="Times New Roman"/>
          <w:noProof/>
          <w:sz w:val="20"/>
          <w:szCs w:val="20"/>
          <w:lang w:eastAsia="fr-FR"/>
        </w:rPr>
        <w:drawing>
          <wp:inline distT="0" distB="0" distL="0" distR="0" wp14:anchorId="0F8932EE" wp14:editId="1D7390EE">
            <wp:extent cx="3505200" cy="1799288"/>
            <wp:effectExtent l="0" t="0" r="0" b="0"/>
            <wp:docPr id="2" name="Image 1"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Capture d’écra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8904" cy="1801189"/>
                    </a:xfrm>
                    <a:prstGeom prst="rect">
                      <a:avLst/>
                    </a:prstGeom>
                  </pic:spPr>
                </pic:pic>
              </a:graphicData>
            </a:graphic>
          </wp:inline>
        </w:drawing>
      </w:r>
      <w:r>
        <w:rPr>
          <w:rFonts w:ascii="Times New Roman" w:hAnsi="Times New Roman"/>
          <w:noProof/>
          <w:sz w:val="20"/>
          <w:szCs w:val="20"/>
          <w:lang w:eastAsia="fr-FR"/>
        </w:rPr>
        <mc:AlternateContent>
          <mc:Choice Requires="wps">
            <w:drawing>
              <wp:anchor distT="0" distB="0" distL="114300" distR="114300" simplePos="0" relativeHeight="251659264" behindDoc="0" locked="0" layoutInCell="1" allowOverlap="1" wp14:anchorId="529C4726" wp14:editId="09D15950">
                <wp:simplePos x="0" y="0"/>
                <wp:positionH relativeFrom="column">
                  <wp:posOffset>3848100</wp:posOffset>
                </wp:positionH>
                <wp:positionV relativeFrom="paragraph">
                  <wp:posOffset>98002</wp:posOffset>
                </wp:positionV>
                <wp:extent cx="3136900" cy="1473200"/>
                <wp:effectExtent l="0" t="0" r="6350" b="0"/>
                <wp:wrapNone/>
                <wp:docPr id="1" name="Zone de texte 1"/>
                <wp:cNvGraphicFramePr/>
                <a:graphic xmlns:a="http://schemas.openxmlformats.org/drawingml/2006/main">
                  <a:graphicData uri="http://schemas.microsoft.com/office/word/2010/wordprocessingShape">
                    <wps:wsp>
                      <wps:cNvSpPr txBox="1"/>
                      <wps:spPr>
                        <a:xfrm>
                          <a:off x="0" y="0"/>
                          <a:ext cx="3136900" cy="147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F0EEC8" w14:textId="013977E0" w:rsidR="00462BCC" w:rsidRPr="00462BCC" w:rsidRDefault="00462BCC">
                            <w:pPr>
                              <w:rPr>
                                <w:rFonts w:ascii="Times New Roman" w:hAnsi="Times New Roman"/>
                              </w:rPr>
                            </w:pPr>
                            <w:r w:rsidRPr="00462BCC">
                              <w:rPr>
                                <w:rFonts w:ascii="Times New Roman" w:hAnsi="Times New Roman"/>
                              </w:rPr>
                              <w:t xml:space="preserve">- Infections sévères ou récidivantes (EBV, HPV, VZV/Zona extensif, Grippe grave par exemple). </w:t>
                            </w:r>
                          </w:p>
                          <w:p w14:paraId="788930E9" w14:textId="4910A328" w:rsidR="00462BCC" w:rsidRPr="00462BCC" w:rsidRDefault="00462BCC">
                            <w:pPr>
                              <w:rPr>
                                <w:rFonts w:ascii="Times New Roman" w:hAnsi="Times New Roman"/>
                              </w:rPr>
                            </w:pPr>
                            <w:r w:rsidRPr="00462BCC">
                              <w:rPr>
                                <w:rFonts w:ascii="Times New Roman" w:hAnsi="Times New Roman"/>
                              </w:rPr>
                              <w:t>- Nécessité d’un passage en réanimation ou en USI</w:t>
                            </w:r>
                          </w:p>
                          <w:p w14:paraId="5E42F07C" w14:textId="14B88998" w:rsidR="00462BCC" w:rsidRPr="00462BCC" w:rsidRDefault="00462BCC">
                            <w:pPr>
                              <w:rPr>
                                <w:rFonts w:ascii="Times New Roman" w:hAnsi="Times New Roman"/>
                              </w:rPr>
                            </w:pPr>
                            <w:r w:rsidRPr="00462BCC">
                              <w:rPr>
                                <w:rFonts w:ascii="Times New Roman" w:hAnsi="Times New Roman"/>
                              </w:rPr>
                              <w:t xml:space="preserve">- Germes atypiques (commensal, normalement peu pathogène). </w:t>
                            </w:r>
                          </w:p>
                          <w:p w14:paraId="06834F0F" w14:textId="77777777" w:rsidR="00462BCC" w:rsidRDefault="00462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C4726" id="_x0000_t202" coordsize="21600,21600" o:spt="202" path="m,l,21600r21600,l21600,xe">
                <v:stroke joinstyle="miter"/>
                <v:path gradientshapeok="t" o:connecttype="rect"/>
              </v:shapetype>
              <v:shape id="Zone de texte 1" o:spid="_x0000_s1026" type="#_x0000_t202" style="position:absolute;margin-left:303pt;margin-top:7.7pt;width:247pt;height:1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" fillcolor="white [3201]" stroked="f" strokeweight=".5pt">
                <v:textbox>
                  <w:txbxContent>
                    <w:p w14:paraId="07F0EEC8" w14:textId="013977E0" w:rsidR="00462BCC" w:rsidRPr="00462BCC" w:rsidRDefault="00462BCC">
                      <w:pPr>
                        <w:rPr>
                          <w:rFonts w:ascii="Times New Roman" w:hAnsi="Times New Roman"/>
                        </w:rPr>
                      </w:pPr>
                      <w:r w:rsidRPr="00462BCC">
                        <w:rPr>
                          <w:rFonts w:ascii="Times New Roman" w:hAnsi="Times New Roman"/>
                        </w:rPr>
                        <w:t xml:space="preserve">- Infections sévères ou récidivantes (EBV, HPV, VZV/Zona extensif, Grippe grave par exemple). </w:t>
                      </w:r>
                    </w:p>
                    <w:p w14:paraId="788930E9" w14:textId="4910A328" w:rsidR="00462BCC" w:rsidRPr="00462BCC" w:rsidRDefault="00462BCC">
                      <w:pPr>
                        <w:rPr>
                          <w:rFonts w:ascii="Times New Roman" w:hAnsi="Times New Roman"/>
                        </w:rPr>
                      </w:pPr>
                      <w:r w:rsidRPr="00462BCC">
                        <w:rPr>
                          <w:rFonts w:ascii="Times New Roman" w:hAnsi="Times New Roman"/>
                        </w:rPr>
                        <w:t>- Nécessité d’un passage en réanimation ou en USI</w:t>
                      </w:r>
                    </w:p>
                    <w:p w14:paraId="5E42F07C" w14:textId="14B88998" w:rsidR="00462BCC" w:rsidRPr="00462BCC" w:rsidRDefault="00462BCC">
                      <w:pPr>
                        <w:rPr>
                          <w:rFonts w:ascii="Times New Roman" w:hAnsi="Times New Roman"/>
                        </w:rPr>
                      </w:pPr>
                      <w:r w:rsidRPr="00462BCC">
                        <w:rPr>
                          <w:rFonts w:ascii="Times New Roman" w:hAnsi="Times New Roman"/>
                        </w:rPr>
                        <w:t xml:space="preserve">- Germes atypiques (commensal, normalement peu pathogène). </w:t>
                      </w:r>
                    </w:p>
                    <w:p w14:paraId="06834F0F" w14:textId="77777777" w:rsidR="00462BCC" w:rsidRDefault="00462BCC"/>
                  </w:txbxContent>
                </v:textbox>
              </v:shape>
            </w:pict>
          </mc:Fallback>
        </mc:AlternateContent>
      </w:r>
      <w:r w:rsidR="008C673E" w:rsidRPr="008C673E">
        <w:rPr>
          <w:rFonts w:ascii="Times New Roman" w:hAnsi="Times New Roman"/>
          <w:b/>
          <w:sz w:val="20"/>
          <w:szCs w:val="20"/>
        </w:rPr>
        <w:t xml:space="preserve"> </w:t>
      </w:r>
    </w:p>
    <w:p w14:paraId="505B9E63" w14:textId="0A332166" w:rsidR="008C673E" w:rsidRPr="00462BCC" w:rsidRDefault="008C673E" w:rsidP="000C3BD6">
      <w:pPr>
        <w:spacing w:after="0" w:line="360" w:lineRule="auto"/>
        <w:ind w:left="3540" w:firstLine="708"/>
        <w:jc w:val="right"/>
        <w:rPr>
          <w:rFonts w:ascii="Times New Roman" w:hAnsi="Times New Roman"/>
          <w:b/>
          <w:sz w:val="20"/>
          <w:szCs w:val="20"/>
        </w:rPr>
      </w:pPr>
      <w:r w:rsidRPr="00462BCC">
        <w:rPr>
          <w:rFonts w:ascii="Times New Roman" w:hAnsi="Times New Roman"/>
          <w:b/>
          <w:sz w:val="20"/>
          <w:szCs w:val="20"/>
        </w:rPr>
        <w:t>Pr Thierry Martin</w:t>
      </w:r>
      <w:r w:rsidR="000C3BD6">
        <w:rPr>
          <w:rFonts w:ascii="Times New Roman" w:hAnsi="Times New Roman"/>
          <w:b/>
          <w:sz w:val="20"/>
          <w:szCs w:val="20"/>
        </w:rPr>
        <w:t xml:space="preserve"> - </w:t>
      </w:r>
      <w:r w:rsidRPr="00462BCC">
        <w:rPr>
          <w:rFonts w:ascii="Times New Roman" w:hAnsi="Times New Roman"/>
          <w:b/>
          <w:sz w:val="20"/>
          <w:szCs w:val="20"/>
        </w:rPr>
        <w:t>Dr Aurélien Guffroy</w:t>
      </w:r>
    </w:p>
    <w:p w14:paraId="65D8192C" w14:textId="77777777" w:rsidR="008C673E" w:rsidRPr="00462BCC" w:rsidRDefault="008C673E" w:rsidP="000C3BD6">
      <w:pPr>
        <w:spacing w:after="0" w:line="240" w:lineRule="auto"/>
        <w:jc w:val="right"/>
        <w:rPr>
          <w:rFonts w:ascii="Times New Roman" w:hAnsi="Times New Roman"/>
          <w:b/>
          <w:sz w:val="20"/>
          <w:szCs w:val="20"/>
        </w:rPr>
      </w:pPr>
      <w:r w:rsidRPr="00462BCC">
        <w:rPr>
          <w:rFonts w:ascii="Times New Roman" w:hAnsi="Times New Roman"/>
          <w:b/>
          <w:sz w:val="20"/>
          <w:szCs w:val="20"/>
        </w:rPr>
        <w:t>Service d’Immunologie Clinique et Médecine Interne</w:t>
      </w:r>
    </w:p>
    <w:p w14:paraId="2E4AABB1" w14:textId="77777777" w:rsidR="008C673E" w:rsidRPr="00462BCC" w:rsidRDefault="008C673E" w:rsidP="000C3BD6">
      <w:pPr>
        <w:spacing w:after="0" w:line="240" w:lineRule="auto"/>
        <w:jc w:val="right"/>
        <w:rPr>
          <w:rFonts w:ascii="Times New Roman" w:hAnsi="Times New Roman"/>
          <w:sz w:val="20"/>
          <w:szCs w:val="20"/>
        </w:rPr>
      </w:pPr>
      <w:r w:rsidRPr="00462BCC">
        <w:rPr>
          <w:rFonts w:ascii="Times New Roman" w:hAnsi="Times New Roman"/>
          <w:sz w:val="20"/>
          <w:szCs w:val="20"/>
        </w:rPr>
        <w:t>Centre de référence des maladies auto-immunes rares</w:t>
      </w:r>
    </w:p>
    <w:p w14:paraId="01A95EB3" w14:textId="77777777" w:rsidR="008C673E" w:rsidRPr="00462BCC" w:rsidRDefault="008C673E" w:rsidP="000C3BD6">
      <w:pPr>
        <w:spacing w:line="240" w:lineRule="auto"/>
        <w:jc w:val="right"/>
        <w:rPr>
          <w:rFonts w:ascii="Times New Roman" w:hAnsi="Times New Roman"/>
          <w:sz w:val="20"/>
          <w:szCs w:val="20"/>
        </w:rPr>
      </w:pPr>
      <w:r w:rsidRPr="00462BCC">
        <w:rPr>
          <w:rFonts w:ascii="Times New Roman" w:hAnsi="Times New Roman"/>
          <w:sz w:val="20"/>
          <w:szCs w:val="20"/>
        </w:rPr>
        <w:t>Strasbourg</w:t>
      </w:r>
    </w:p>
    <w:bookmarkStart w:id="0" w:name="_GoBack"/>
    <w:bookmarkEnd w:id="0"/>
    <w:p w14:paraId="1F2B8F08" w14:textId="59A2B1BF" w:rsidR="00660BE1" w:rsidRPr="00462BCC" w:rsidRDefault="000C3BD6" w:rsidP="000C3BD6">
      <w:pPr>
        <w:spacing w:line="240" w:lineRule="auto"/>
        <w:jc w:val="right"/>
        <w:rPr>
          <w:rFonts w:ascii="Times New Roman" w:hAnsi="Times New Roman"/>
          <w:b/>
          <w:sz w:val="20"/>
          <w:szCs w:val="20"/>
          <w:u w:val="single"/>
        </w:rPr>
      </w:pPr>
      <w:r>
        <w:fldChar w:fldCharType="begin"/>
      </w:r>
      <w:r>
        <w:instrText xml:space="preserve"> HYPERLINK "mailto:aurelien.guffroy@chru-strasbourg.fr" </w:instrText>
      </w:r>
      <w:r>
        <w:fldChar w:fldCharType="separate"/>
      </w:r>
      <w:r w:rsidR="008C673E" w:rsidRPr="008E28FF">
        <w:rPr>
          <w:rStyle w:val="Lienhypertexte"/>
          <w:rFonts w:ascii="Times New Roman" w:hAnsi="Times New Roman"/>
          <w:i/>
          <w:sz w:val="20"/>
          <w:szCs w:val="20"/>
        </w:rPr>
        <w:t>aurelien.guffroy@chru-strasbourg.fr</w:t>
      </w:r>
      <w:r>
        <w:rPr>
          <w:rStyle w:val="Lienhypertexte"/>
          <w:rFonts w:ascii="Times New Roman" w:hAnsi="Times New Roman"/>
          <w:i/>
          <w:sz w:val="20"/>
          <w:szCs w:val="20"/>
        </w:rPr>
        <w:fldChar w:fldCharType="end"/>
      </w:r>
    </w:p>
    <w:sectPr w:rsidR="00660BE1" w:rsidRPr="00462BCC" w:rsidSect="00863AA6">
      <w:headerReference w:type="default" r:id="rId8"/>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CBD66" w14:textId="77777777" w:rsidR="00863AA6" w:rsidRDefault="00863AA6" w:rsidP="00863AA6">
      <w:pPr>
        <w:spacing w:after="0" w:line="240" w:lineRule="auto"/>
      </w:pPr>
      <w:r>
        <w:separator/>
      </w:r>
    </w:p>
  </w:endnote>
  <w:endnote w:type="continuationSeparator" w:id="0">
    <w:p w14:paraId="077D2855" w14:textId="77777777" w:rsidR="00863AA6" w:rsidRDefault="00863AA6" w:rsidP="0086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0B182" w14:textId="77777777" w:rsidR="00863AA6" w:rsidRDefault="00863AA6" w:rsidP="00863AA6">
      <w:pPr>
        <w:spacing w:after="0" w:line="240" w:lineRule="auto"/>
      </w:pPr>
      <w:r>
        <w:separator/>
      </w:r>
    </w:p>
  </w:footnote>
  <w:footnote w:type="continuationSeparator" w:id="0">
    <w:p w14:paraId="2667EF5F" w14:textId="77777777" w:rsidR="00863AA6" w:rsidRDefault="00863AA6" w:rsidP="0086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74EF" w14:textId="77777777" w:rsidR="00863AA6" w:rsidRDefault="00863AA6" w:rsidP="00863AA6">
    <w:pPr>
      <w:pStyle w:val="Sansinterligne"/>
      <w:spacing w:line="360" w:lineRule="auto"/>
      <w:jc w:val="center"/>
      <w:rPr>
        <w:rFonts w:ascii="Times New Roman" w:hAnsi="Times New Roman"/>
        <w:b/>
        <w:sz w:val="24"/>
        <w:szCs w:val="24"/>
        <w:lang w:eastAsia="fr-FR"/>
      </w:rPr>
    </w:pPr>
    <w:r>
      <w:rPr>
        <w:rFonts w:ascii="Times New Roman" w:hAnsi="Times New Roman"/>
        <w:b/>
        <w:sz w:val="24"/>
        <w:szCs w:val="24"/>
        <w:lang w:eastAsia="fr-FR"/>
      </w:rPr>
      <w:t>LUPUS-LIGHT</w:t>
    </w:r>
  </w:p>
  <w:p w14:paraId="26F3D735" w14:textId="77777777" w:rsidR="00863AA6" w:rsidRDefault="00863AA6" w:rsidP="00863AA6">
    <w:pPr>
      <w:pStyle w:val="Sansinterligne"/>
      <w:spacing w:line="360" w:lineRule="auto"/>
      <w:jc w:val="center"/>
      <w:rPr>
        <w:rFonts w:ascii="Times New Roman" w:hAnsi="Times New Roman"/>
        <w:b/>
        <w:sz w:val="24"/>
        <w:szCs w:val="24"/>
        <w:lang w:eastAsia="fr-FR"/>
      </w:rPr>
    </w:pPr>
    <w:r w:rsidRPr="00E97EB3">
      <w:rPr>
        <w:rFonts w:ascii="Times New Roman" w:hAnsi="Times New Roman"/>
        <w:sz w:val="24"/>
        <w:szCs w:val="24"/>
        <w:lang w:eastAsia="fr-FR"/>
      </w:rPr>
      <w:t>(</w:t>
    </w:r>
    <w:r w:rsidRPr="00E97EB3">
      <w:rPr>
        <w:rFonts w:ascii="Times New Roman" w:hAnsi="Times New Roman"/>
        <w:b/>
        <w:sz w:val="28"/>
        <w:szCs w:val="24"/>
        <w:lang w:eastAsia="fr-FR"/>
      </w:rPr>
      <w:t>L</w:t>
    </w:r>
    <w:r w:rsidRPr="00E97EB3">
      <w:rPr>
        <w:rFonts w:ascii="Times New Roman" w:hAnsi="Times New Roman"/>
        <w:sz w:val="24"/>
        <w:szCs w:val="24"/>
        <w:lang w:eastAsia="fr-FR"/>
      </w:rPr>
      <w:t>ymphopénie</w:t>
    </w:r>
    <w:r>
      <w:rPr>
        <w:rFonts w:ascii="Times New Roman" w:hAnsi="Times New Roman"/>
        <w:b/>
        <w:sz w:val="24"/>
        <w:szCs w:val="24"/>
        <w:lang w:eastAsia="fr-FR"/>
      </w:rPr>
      <w:t xml:space="preserve">, </w:t>
    </w:r>
    <w:r w:rsidRPr="00E97EB3">
      <w:rPr>
        <w:rFonts w:ascii="Times New Roman" w:hAnsi="Times New Roman"/>
        <w:b/>
        <w:sz w:val="28"/>
        <w:szCs w:val="24"/>
        <w:lang w:eastAsia="fr-FR"/>
      </w:rPr>
      <w:t>I</w:t>
    </w:r>
    <w:r w:rsidRPr="00E97EB3">
      <w:rPr>
        <w:rFonts w:ascii="Times New Roman" w:hAnsi="Times New Roman"/>
        <w:sz w:val="24"/>
        <w:szCs w:val="24"/>
        <w:lang w:eastAsia="fr-FR"/>
      </w:rPr>
      <w:t>nfections</w:t>
    </w:r>
    <w:r>
      <w:rPr>
        <w:rFonts w:ascii="Times New Roman" w:hAnsi="Times New Roman"/>
        <w:b/>
        <w:sz w:val="24"/>
        <w:szCs w:val="24"/>
        <w:lang w:eastAsia="fr-FR"/>
      </w:rPr>
      <w:t xml:space="preserve"> </w:t>
    </w:r>
    <w:r w:rsidRPr="00E97EB3">
      <w:rPr>
        <w:rFonts w:ascii="Times New Roman" w:hAnsi="Times New Roman"/>
        <w:b/>
        <w:sz w:val="28"/>
        <w:szCs w:val="24"/>
        <w:lang w:eastAsia="fr-FR"/>
      </w:rPr>
      <w:t>G</w:t>
    </w:r>
    <w:r w:rsidRPr="00E97EB3">
      <w:rPr>
        <w:rFonts w:ascii="Times New Roman" w:hAnsi="Times New Roman"/>
        <w:sz w:val="24"/>
        <w:szCs w:val="24"/>
        <w:lang w:eastAsia="fr-FR"/>
      </w:rPr>
      <w:t>raves</w:t>
    </w:r>
    <w:r>
      <w:rPr>
        <w:rFonts w:ascii="Times New Roman" w:hAnsi="Times New Roman"/>
        <w:b/>
        <w:sz w:val="24"/>
        <w:szCs w:val="24"/>
        <w:lang w:eastAsia="fr-FR"/>
      </w:rPr>
      <w:t xml:space="preserve">, </w:t>
    </w:r>
    <w:r w:rsidRPr="00E97EB3">
      <w:rPr>
        <w:rFonts w:ascii="Times New Roman" w:hAnsi="Times New Roman"/>
        <w:b/>
        <w:sz w:val="28"/>
        <w:szCs w:val="24"/>
        <w:lang w:eastAsia="fr-FR"/>
      </w:rPr>
      <w:t>H</w:t>
    </w:r>
    <w:r w:rsidRPr="00E97EB3">
      <w:rPr>
        <w:rFonts w:ascii="Times New Roman" w:hAnsi="Times New Roman"/>
        <w:sz w:val="24"/>
        <w:szCs w:val="24"/>
        <w:lang w:eastAsia="fr-FR"/>
      </w:rPr>
      <w:t>ypogammaglobulinémie</w:t>
    </w:r>
    <w:r>
      <w:rPr>
        <w:rFonts w:ascii="Times New Roman" w:hAnsi="Times New Roman"/>
        <w:b/>
        <w:sz w:val="24"/>
        <w:szCs w:val="24"/>
        <w:lang w:eastAsia="fr-FR"/>
      </w:rPr>
      <w:t xml:space="preserve">, </w:t>
    </w:r>
    <w:r w:rsidRPr="00E97EB3">
      <w:rPr>
        <w:rFonts w:ascii="Times New Roman" w:hAnsi="Times New Roman"/>
        <w:sz w:val="24"/>
        <w:szCs w:val="24"/>
        <w:lang w:eastAsia="fr-FR"/>
      </w:rPr>
      <w:t>hors</w:t>
    </w:r>
    <w:r>
      <w:rPr>
        <w:rFonts w:ascii="Times New Roman" w:hAnsi="Times New Roman"/>
        <w:b/>
        <w:sz w:val="24"/>
        <w:szCs w:val="24"/>
        <w:lang w:eastAsia="fr-FR"/>
      </w:rPr>
      <w:t xml:space="preserve"> </w:t>
    </w:r>
    <w:r w:rsidRPr="00E97EB3">
      <w:rPr>
        <w:rFonts w:ascii="Times New Roman" w:hAnsi="Times New Roman"/>
        <w:b/>
        <w:sz w:val="28"/>
        <w:szCs w:val="24"/>
        <w:lang w:eastAsia="fr-FR"/>
      </w:rPr>
      <w:t>T</w:t>
    </w:r>
    <w:r w:rsidRPr="00E97EB3">
      <w:rPr>
        <w:rFonts w:ascii="Times New Roman" w:hAnsi="Times New Roman"/>
        <w:sz w:val="24"/>
        <w:szCs w:val="24"/>
        <w:lang w:eastAsia="fr-FR"/>
      </w:rPr>
      <w:t>raitements)</w:t>
    </w:r>
  </w:p>
  <w:p w14:paraId="7393D2AF" w14:textId="77777777" w:rsidR="00863AA6" w:rsidRPr="00233146" w:rsidRDefault="00863AA6" w:rsidP="00863AA6">
    <w:pPr>
      <w:pStyle w:val="Sansinterligne"/>
      <w:spacing w:line="360" w:lineRule="auto"/>
      <w:jc w:val="center"/>
      <w:rPr>
        <w:rFonts w:ascii="Times New Roman" w:hAnsi="Times New Roman"/>
        <w:i/>
        <w:sz w:val="24"/>
        <w:szCs w:val="24"/>
        <w:lang w:eastAsia="fr-FR"/>
      </w:rPr>
    </w:pPr>
    <w:r w:rsidRPr="00233146">
      <w:rPr>
        <w:rFonts w:ascii="Times New Roman" w:hAnsi="Times New Roman"/>
        <w:i/>
        <w:sz w:val="24"/>
        <w:szCs w:val="24"/>
        <w:lang w:eastAsia="fr-FR"/>
      </w:rPr>
      <w:t>Etude rétrospective des lupus avec lymphopénie primaire persistante, hypogammaglobulinémie primaire persistante ou infection</w:t>
    </w:r>
    <w:r>
      <w:rPr>
        <w:rFonts w:ascii="Times New Roman" w:hAnsi="Times New Roman"/>
        <w:i/>
        <w:sz w:val="24"/>
        <w:szCs w:val="24"/>
        <w:lang w:eastAsia="fr-FR"/>
      </w:rPr>
      <w:t>s rares, sévères ou opportunistes</w:t>
    </w:r>
  </w:p>
  <w:p w14:paraId="090679E4" w14:textId="77777777" w:rsidR="00863AA6" w:rsidRPr="00610FE3" w:rsidRDefault="00863AA6" w:rsidP="00863AA6">
    <w:pPr>
      <w:pStyle w:val="Sansinterligne"/>
      <w:jc w:val="center"/>
      <w:rPr>
        <w:rFonts w:ascii="Times New Roman" w:hAnsi="Times New Roman"/>
        <w:b/>
        <w:sz w:val="24"/>
        <w:szCs w:val="24"/>
        <w:lang w:eastAsia="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799"/>
    <w:multiLevelType w:val="hybridMultilevel"/>
    <w:tmpl w:val="DA86DD7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86"/>
    <w:rsid w:val="00017560"/>
    <w:rsid w:val="00055AE9"/>
    <w:rsid w:val="000C3BD6"/>
    <w:rsid w:val="001B75F7"/>
    <w:rsid w:val="001C7268"/>
    <w:rsid w:val="0042032C"/>
    <w:rsid w:val="00462BCC"/>
    <w:rsid w:val="00587286"/>
    <w:rsid w:val="005E2BEE"/>
    <w:rsid w:val="00642BF0"/>
    <w:rsid w:val="00660BE1"/>
    <w:rsid w:val="006A58B2"/>
    <w:rsid w:val="00863AA6"/>
    <w:rsid w:val="008C673E"/>
    <w:rsid w:val="00FB2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38A9"/>
  <w15:chartTrackingRefBased/>
  <w15:docId w15:val="{2209285A-E7E8-4AC9-AD07-420A7873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A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3AA6"/>
    <w:pPr>
      <w:tabs>
        <w:tab w:val="center" w:pos="4536"/>
        <w:tab w:val="right" w:pos="9072"/>
      </w:tabs>
      <w:spacing w:after="0" w:line="240" w:lineRule="auto"/>
    </w:pPr>
  </w:style>
  <w:style w:type="character" w:customStyle="1" w:styleId="En-tteCar">
    <w:name w:val="En-tête Car"/>
    <w:basedOn w:val="Policepardfaut"/>
    <w:link w:val="En-tte"/>
    <w:uiPriority w:val="99"/>
    <w:rsid w:val="00863AA6"/>
    <w:rPr>
      <w:rFonts w:ascii="Calibri" w:eastAsia="Calibri" w:hAnsi="Calibri" w:cs="Times New Roman"/>
    </w:rPr>
  </w:style>
  <w:style w:type="paragraph" w:styleId="Pieddepage">
    <w:name w:val="footer"/>
    <w:basedOn w:val="Normal"/>
    <w:link w:val="PieddepageCar"/>
    <w:uiPriority w:val="99"/>
    <w:unhideWhenUsed/>
    <w:rsid w:val="00863A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AA6"/>
    <w:rPr>
      <w:rFonts w:ascii="Calibri" w:eastAsia="Calibri" w:hAnsi="Calibri" w:cs="Times New Roman"/>
    </w:rPr>
  </w:style>
  <w:style w:type="paragraph" w:styleId="Corpsdetexte">
    <w:name w:val="Body Text"/>
    <w:basedOn w:val="Normal"/>
    <w:link w:val="CorpsdetexteCar"/>
    <w:rsid w:val="00863AA6"/>
    <w:pPr>
      <w:spacing w:after="0" w:line="480" w:lineRule="auto"/>
      <w:jc w:val="center"/>
    </w:pPr>
    <w:rPr>
      <w:rFonts w:ascii="Arial" w:eastAsia="Times" w:hAnsi="Arial"/>
      <w:b/>
      <w:sz w:val="24"/>
      <w:szCs w:val="20"/>
      <w:lang w:eastAsia="fr-FR"/>
    </w:rPr>
  </w:style>
  <w:style w:type="character" w:customStyle="1" w:styleId="CorpsdetexteCar">
    <w:name w:val="Corps de texte Car"/>
    <w:basedOn w:val="Policepardfaut"/>
    <w:link w:val="Corpsdetexte"/>
    <w:rsid w:val="00863AA6"/>
    <w:rPr>
      <w:rFonts w:ascii="Arial" w:eastAsia="Times" w:hAnsi="Arial" w:cs="Times New Roman"/>
      <w:b/>
      <w:sz w:val="24"/>
      <w:szCs w:val="20"/>
      <w:lang w:eastAsia="fr-FR"/>
    </w:rPr>
  </w:style>
  <w:style w:type="paragraph" w:styleId="Sansinterligne">
    <w:name w:val="No Spacing"/>
    <w:uiPriority w:val="1"/>
    <w:qFormat/>
    <w:rsid w:val="00863AA6"/>
    <w:pPr>
      <w:spacing w:after="0" w:line="240" w:lineRule="auto"/>
    </w:pPr>
    <w:rPr>
      <w:rFonts w:ascii="Calibri" w:eastAsia="Calibri" w:hAnsi="Calibri" w:cs="Times New Roman"/>
    </w:rPr>
  </w:style>
  <w:style w:type="paragraph" w:styleId="Paragraphedeliste">
    <w:name w:val="List Paragraph"/>
    <w:basedOn w:val="Normal"/>
    <w:uiPriority w:val="34"/>
    <w:qFormat/>
    <w:rsid w:val="00055AE9"/>
    <w:pPr>
      <w:ind w:left="720"/>
      <w:contextualSpacing/>
    </w:pPr>
  </w:style>
  <w:style w:type="character" w:styleId="Lienhypertexte">
    <w:name w:val="Hyperlink"/>
    <w:basedOn w:val="Policepardfaut"/>
    <w:uiPriority w:val="99"/>
    <w:unhideWhenUsed/>
    <w:rsid w:val="00462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1306">
      <w:bodyDiv w:val="1"/>
      <w:marLeft w:val="0"/>
      <w:marRight w:val="0"/>
      <w:marTop w:val="0"/>
      <w:marBottom w:val="0"/>
      <w:divBdr>
        <w:top w:val="none" w:sz="0" w:space="0" w:color="auto"/>
        <w:left w:val="none" w:sz="0" w:space="0" w:color="auto"/>
        <w:bottom w:val="none" w:sz="0" w:space="0" w:color="auto"/>
        <w:right w:val="none" w:sz="0" w:space="0" w:color="auto"/>
      </w:divBdr>
    </w:div>
    <w:div w:id="214777907">
      <w:bodyDiv w:val="1"/>
      <w:marLeft w:val="0"/>
      <w:marRight w:val="0"/>
      <w:marTop w:val="0"/>
      <w:marBottom w:val="0"/>
      <w:divBdr>
        <w:top w:val="none" w:sz="0" w:space="0" w:color="auto"/>
        <w:left w:val="none" w:sz="0" w:space="0" w:color="auto"/>
        <w:bottom w:val="none" w:sz="0" w:space="0" w:color="auto"/>
        <w:right w:val="none" w:sz="0" w:space="0" w:color="auto"/>
      </w:divBdr>
    </w:div>
    <w:div w:id="16790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833</Words>
  <Characters>4583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 guffroy</dc:creator>
  <cp:keywords/>
  <dc:description/>
  <cp:lastModifiedBy>aurelien guffroy</cp:lastModifiedBy>
  <cp:revision>13</cp:revision>
  <cp:lastPrinted>2017-07-10T06:33:00Z</cp:lastPrinted>
  <dcterms:created xsi:type="dcterms:W3CDTF">2017-03-14T16:05:00Z</dcterms:created>
  <dcterms:modified xsi:type="dcterms:W3CDTF">2017-07-10T06:33:00Z</dcterms:modified>
</cp:coreProperties>
</file>