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D7729" w14:textId="77777777" w:rsidR="00866074" w:rsidRPr="00861E08" w:rsidRDefault="00861E08" w:rsidP="00C05FAB">
      <w:pPr>
        <w:jc w:val="center"/>
        <w:rPr>
          <w:b/>
          <w:color w:val="0000FF"/>
          <w:sz w:val="28"/>
          <w:lang w:val="fr-FR"/>
        </w:rPr>
      </w:pPr>
      <w:bookmarkStart w:id="0" w:name="_GoBack"/>
      <w:bookmarkEnd w:id="0"/>
      <w:r w:rsidRPr="00861E08">
        <w:rPr>
          <w:b/>
          <w:color w:val="0000FF"/>
          <w:sz w:val="28"/>
          <w:lang w:val="fr-FR"/>
        </w:rPr>
        <w:t>SYNOPSIS PARAP-1</w:t>
      </w:r>
      <w:r>
        <w:rPr>
          <w:b/>
          <w:color w:val="0000FF"/>
          <w:sz w:val="28"/>
          <w:lang w:val="fr-FR"/>
        </w:rPr>
        <w:t xml:space="preserve"> </w:t>
      </w:r>
      <w:proofErr w:type="spellStart"/>
      <w:r>
        <w:rPr>
          <w:b/>
          <w:color w:val="0000FF"/>
          <w:sz w:val="28"/>
          <w:lang w:val="fr-FR"/>
        </w:rPr>
        <w:t>study</w:t>
      </w:r>
      <w:proofErr w:type="spellEnd"/>
    </w:p>
    <w:p w14:paraId="672A6659" w14:textId="77777777" w:rsidR="00897BC9" w:rsidRPr="00897BC9" w:rsidRDefault="00897BC9" w:rsidP="00C05FAB">
      <w:pPr>
        <w:jc w:val="center"/>
        <w:rPr>
          <w:b/>
          <w:color w:val="0000FF"/>
          <w:sz w:val="28"/>
          <w:lang w:val="fr-FR"/>
        </w:rPr>
      </w:pPr>
    </w:p>
    <w:p w14:paraId="0A37501D" w14:textId="77777777" w:rsidR="00866074" w:rsidRDefault="00866074" w:rsidP="00C05FAB">
      <w:pPr>
        <w:jc w:val="center"/>
        <w:rPr>
          <w:b/>
          <w:color w:val="0000FF"/>
          <w:lang w:val="fr-FR"/>
        </w:rPr>
      </w:pPr>
    </w:p>
    <w:p w14:paraId="2F0D7F21" w14:textId="77777777" w:rsidR="00181863" w:rsidRPr="003A225D" w:rsidRDefault="00812B57" w:rsidP="00304A2B">
      <w:pPr>
        <w:jc w:val="both"/>
        <w:rPr>
          <w:b/>
          <w:color w:val="0000FF"/>
          <w:lang w:val="fr-FR"/>
        </w:rPr>
      </w:pPr>
      <w:r w:rsidRPr="003A225D">
        <w:rPr>
          <w:b/>
          <w:color w:val="0000FF"/>
          <w:lang w:val="fr-FR"/>
        </w:rPr>
        <w:t xml:space="preserve">Titre du </w:t>
      </w:r>
      <w:r w:rsidR="00E709DF" w:rsidRPr="003A225D">
        <w:rPr>
          <w:b/>
          <w:color w:val="0000FF"/>
          <w:lang w:val="fr-FR"/>
        </w:rPr>
        <w:t>Projet :</w:t>
      </w:r>
      <w:r w:rsidR="00304A2B" w:rsidRPr="003A225D">
        <w:rPr>
          <w:b/>
          <w:color w:val="0000FF"/>
          <w:lang w:val="fr-FR"/>
        </w:rPr>
        <w:t xml:space="preserve"> </w:t>
      </w:r>
      <w:r w:rsidR="00154026">
        <w:rPr>
          <w:lang w:val="fr-FR"/>
        </w:rPr>
        <w:t xml:space="preserve">Syndromes </w:t>
      </w:r>
      <w:r w:rsidR="001122A3">
        <w:rPr>
          <w:lang w:val="fr-FR"/>
        </w:rPr>
        <w:t>P</w:t>
      </w:r>
      <w:r w:rsidR="00154026">
        <w:rPr>
          <w:lang w:val="fr-FR"/>
        </w:rPr>
        <w:t>aranéoplasique</w:t>
      </w:r>
      <w:r w:rsidR="00E709DF">
        <w:rPr>
          <w:lang w:val="fr-FR"/>
        </w:rPr>
        <w:t>s</w:t>
      </w:r>
      <w:r w:rsidR="00154026">
        <w:rPr>
          <w:lang w:val="fr-FR"/>
        </w:rPr>
        <w:t xml:space="preserve"> et anti-PD(L) 1</w:t>
      </w:r>
      <w:r w:rsidR="00D81EEF">
        <w:rPr>
          <w:lang w:val="fr-FR"/>
        </w:rPr>
        <w:t xml:space="preserve">, </w:t>
      </w:r>
      <w:r w:rsidR="00154026">
        <w:rPr>
          <w:lang w:val="fr-FR"/>
        </w:rPr>
        <w:t>étude de tolérance</w:t>
      </w:r>
      <w:r w:rsidR="00D81EEF">
        <w:rPr>
          <w:lang w:val="fr-FR"/>
        </w:rPr>
        <w:t xml:space="preserve"> et </w:t>
      </w:r>
      <w:r w:rsidR="00E709DF">
        <w:rPr>
          <w:lang w:val="fr-FR"/>
        </w:rPr>
        <w:t xml:space="preserve">de </w:t>
      </w:r>
      <w:r w:rsidR="00D81EEF">
        <w:rPr>
          <w:lang w:val="fr-FR"/>
        </w:rPr>
        <w:t xml:space="preserve">pharmacovigilance. </w:t>
      </w:r>
    </w:p>
    <w:p w14:paraId="5DAB6C7B" w14:textId="77777777" w:rsidR="00897BC9" w:rsidRPr="003A225D" w:rsidRDefault="00897BC9" w:rsidP="00C72F98">
      <w:pPr>
        <w:rPr>
          <w:b/>
          <w:color w:val="0000FF"/>
          <w:lang w:val="fr-FR"/>
        </w:rPr>
      </w:pPr>
    </w:p>
    <w:p w14:paraId="5D3ED636" w14:textId="77777777" w:rsidR="00812B57" w:rsidRPr="003A225D" w:rsidRDefault="00812B57" w:rsidP="00C72F98">
      <w:pPr>
        <w:rPr>
          <w:b/>
          <w:color w:val="0000FF"/>
        </w:rPr>
      </w:pPr>
      <w:proofErr w:type="spellStart"/>
      <w:r w:rsidRPr="003A225D">
        <w:rPr>
          <w:b/>
          <w:color w:val="0000FF"/>
        </w:rPr>
        <w:t>Acronyme</w:t>
      </w:r>
      <w:proofErr w:type="spellEnd"/>
      <w:r w:rsidRPr="003A225D">
        <w:rPr>
          <w:b/>
          <w:color w:val="0000FF"/>
        </w:rPr>
        <w:t> </w:t>
      </w:r>
      <w:r w:rsidR="00613EA2" w:rsidRPr="003A225D">
        <w:rPr>
          <w:b/>
          <w:color w:val="0000FF"/>
        </w:rPr>
        <w:t>(</w:t>
      </w:r>
      <w:proofErr w:type="spellStart"/>
      <w:r w:rsidR="00613EA2" w:rsidRPr="003A225D">
        <w:rPr>
          <w:b/>
          <w:color w:val="0000FF"/>
        </w:rPr>
        <w:t>si</w:t>
      </w:r>
      <w:proofErr w:type="spellEnd"/>
      <w:r w:rsidR="00613EA2" w:rsidRPr="003A225D">
        <w:rPr>
          <w:b/>
          <w:color w:val="0000FF"/>
        </w:rPr>
        <w:t xml:space="preserve"> </w:t>
      </w:r>
      <w:proofErr w:type="spellStart"/>
      <w:r w:rsidR="00613EA2" w:rsidRPr="003A225D">
        <w:rPr>
          <w:b/>
          <w:color w:val="0000FF"/>
        </w:rPr>
        <w:t>existant</w:t>
      </w:r>
      <w:proofErr w:type="spellEnd"/>
      <w:r w:rsidR="00154026" w:rsidRPr="003A225D">
        <w:rPr>
          <w:b/>
          <w:color w:val="0000FF"/>
        </w:rPr>
        <w:t>):</w:t>
      </w:r>
      <w:r w:rsidR="00EA59C8" w:rsidRPr="003A225D">
        <w:rPr>
          <w:b/>
          <w:color w:val="0000FF"/>
        </w:rPr>
        <w:t xml:space="preserve"> </w:t>
      </w:r>
      <w:r w:rsidR="00154026" w:rsidRPr="00154026">
        <w:rPr>
          <w:b/>
        </w:rPr>
        <w:t>PARAP-1</w:t>
      </w:r>
      <w:r w:rsidR="00154026">
        <w:t xml:space="preserve"> (</w:t>
      </w:r>
      <w:proofErr w:type="spellStart"/>
      <w:r w:rsidR="00154026" w:rsidRPr="00154026">
        <w:rPr>
          <w:b/>
        </w:rPr>
        <w:t>PARA</w:t>
      </w:r>
      <w:r w:rsidR="00154026" w:rsidRPr="003A225D">
        <w:t>neoplastic</w:t>
      </w:r>
      <w:proofErr w:type="spellEnd"/>
      <w:r w:rsidR="003A225D" w:rsidRPr="003A225D">
        <w:t xml:space="preserve"> </w:t>
      </w:r>
      <w:r w:rsidR="00154026">
        <w:t>and a</w:t>
      </w:r>
      <w:r w:rsidR="003A225D" w:rsidRPr="003A225D">
        <w:t>nti-</w:t>
      </w:r>
      <w:r w:rsidR="00154026" w:rsidRPr="00154026">
        <w:rPr>
          <w:b/>
        </w:rPr>
        <w:t>P</w:t>
      </w:r>
      <w:r w:rsidR="00154026" w:rsidRPr="003A225D">
        <w:t>D (</w:t>
      </w:r>
      <w:r w:rsidR="003A225D" w:rsidRPr="003A225D">
        <w:t>L</w:t>
      </w:r>
      <w:r w:rsidR="00154026" w:rsidRPr="003A225D">
        <w:t>)</w:t>
      </w:r>
      <w:r w:rsidR="00154026" w:rsidRPr="00154026">
        <w:rPr>
          <w:b/>
        </w:rPr>
        <w:t xml:space="preserve"> 1</w:t>
      </w:r>
      <w:r w:rsidR="003A225D" w:rsidRPr="003A225D">
        <w:t xml:space="preserve"> </w:t>
      </w:r>
      <w:r w:rsidR="00154026">
        <w:t>therapies)</w:t>
      </w:r>
      <w:r w:rsidR="00043E1C">
        <w:t xml:space="preserve"> study</w:t>
      </w:r>
    </w:p>
    <w:p w14:paraId="02EB378F" w14:textId="77777777" w:rsidR="00B21D5E" w:rsidRPr="003A225D" w:rsidRDefault="00B21D5E" w:rsidP="002607DF">
      <w:pPr>
        <w:rPr>
          <w:b/>
          <w:color w:val="0000FF"/>
        </w:rPr>
      </w:pPr>
    </w:p>
    <w:p w14:paraId="7FD51D88" w14:textId="77777777" w:rsidR="00DC42DB" w:rsidRDefault="00DC42DB" w:rsidP="00C05FAB">
      <w:pPr>
        <w:numPr>
          <w:ilvl w:val="0"/>
          <w:numId w:val="7"/>
        </w:numPr>
        <w:rPr>
          <w:lang w:val="fr-FR"/>
        </w:rPr>
      </w:pPr>
      <w:r>
        <w:rPr>
          <w:lang w:val="fr-FR"/>
        </w:rPr>
        <w:t>Structure</w:t>
      </w:r>
      <w:r w:rsidR="00C05FAB">
        <w:rPr>
          <w:lang w:val="fr-FR"/>
        </w:rPr>
        <w:t>(s)</w:t>
      </w:r>
      <w:r w:rsidR="00897BC9">
        <w:rPr>
          <w:lang w:val="fr-FR"/>
        </w:rPr>
        <w:t>/Laboratoire</w:t>
      </w:r>
      <w:r w:rsidR="00C05FAB">
        <w:rPr>
          <w:lang w:val="fr-FR"/>
        </w:rPr>
        <w:t>(s)</w:t>
      </w:r>
      <w:r>
        <w:rPr>
          <w:lang w:val="fr-FR"/>
        </w:rPr>
        <w:t xml:space="preserve"> où sera conduit le projet :</w:t>
      </w:r>
      <w:r w:rsidR="00304A2B">
        <w:rPr>
          <w:lang w:val="fr-FR"/>
        </w:rPr>
        <w:t xml:space="preserve"> DITEP</w:t>
      </w:r>
    </w:p>
    <w:p w14:paraId="5FEE90D5" w14:textId="77777777" w:rsidR="006358C2" w:rsidRPr="00C05FAB" w:rsidRDefault="00DC42DB" w:rsidP="00C05FAB">
      <w:pPr>
        <w:numPr>
          <w:ilvl w:val="0"/>
          <w:numId w:val="7"/>
        </w:numPr>
        <w:rPr>
          <w:b/>
          <w:color w:val="0000FF"/>
          <w:lang w:val="fr-FR"/>
        </w:rPr>
      </w:pPr>
      <w:r w:rsidRPr="00FE1055">
        <w:rPr>
          <w:lang w:val="fr-FR"/>
        </w:rPr>
        <w:t>DITEP impliqué dans la genèse, la coordination</w:t>
      </w:r>
      <w:r w:rsidR="005064CB">
        <w:rPr>
          <w:lang w:val="fr-FR"/>
        </w:rPr>
        <w:t>, la réalisation</w:t>
      </w:r>
      <w:r w:rsidRPr="00FE1055">
        <w:rPr>
          <w:lang w:val="fr-FR"/>
        </w:rPr>
        <w:t xml:space="preserve"> : </w:t>
      </w:r>
      <w:r w:rsidR="00304A2B">
        <w:rPr>
          <w:lang w:val="fr-FR"/>
        </w:rPr>
        <w:sym w:font="Wingdings" w:char="F06E"/>
      </w:r>
      <w:r w:rsidRPr="00A0407A">
        <w:rPr>
          <w:lang w:val="fr-FR"/>
        </w:rPr>
        <w:t xml:space="preserve"> </w:t>
      </w:r>
      <w:r w:rsidR="00E709DF" w:rsidRPr="00A0407A">
        <w:rPr>
          <w:lang w:val="fr-FR"/>
        </w:rPr>
        <w:t xml:space="preserve">oui </w:t>
      </w:r>
      <w:r w:rsidR="00E709DF" w:rsidRPr="00A0407A">
        <w:rPr>
          <w:lang w:val="fr-FR"/>
        </w:rPr>
        <w:tab/>
      </w:r>
      <w:r w:rsidRPr="00FE1055">
        <w:rPr>
          <w:lang w:val="fr-FR"/>
        </w:rPr>
        <w:sym w:font="Wingdings" w:char="F0A8"/>
      </w:r>
      <w:r w:rsidRPr="00A0407A">
        <w:rPr>
          <w:lang w:val="fr-FR"/>
        </w:rPr>
        <w:t xml:space="preserve"> non</w:t>
      </w:r>
    </w:p>
    <w:p w14:paraId="6A05A809" w14:textId="77777777" w:rsidR="00C05FAB" w:rsidRDefault="00C05FAB" w:rsidP="00C05FAB">
      <w:pPr>
        <w:pStyle w:val="Paragraphedeliste"/>
        <w:rPr>
          <w:b/>
          <w:color w:val="0000FF"/>
          <w:lang w:val="fr-FR"/>
        </w:rPr>
      </w:pPr>
    </w:p>
    <w:p w14:paraId="607A7053" w14:textId="77777777" w:rsidR="00AF524E" w:rsidRDefault="00AF524E" w:rsidP="00AF524E">
      <w:pPr>
        <w:rPr>
          <w:b/>
          <w:color w:val="0000FF"/>
          <w:lang w:val="fr-FR"/>
        </w:rPr>
      </w:pPr>
      <w:r>
        <w:rPr>
          <w:b/>
          <w:color w:val="0000FF"/>
          <w:lang w:val="fr-FR"/>
        </w:rPr>
        <w:t>Investigateurs principaux et centres coordonnateurs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518A8" w:rsidRPr="00E47258" w14:paraId="24A7FC98" w14:textId="77777777" w:rsidTr="7A2966F6">
        <w:tc>
          <w:tcPr>
            <w:tcW w:w="4606" w:type="dxa"/>
            <w:shd w:val="clear" w:color="auto" w:fill="auto"/>
            <w:vAlign w:val="center"/>
          </w:tcPr>
          <w:p w14:paraId="0850A962" w14:textId="77777777" w:rsidR="00167843" w:rsidRPr="007F78ED" w:rsidRDefault="00167843" w:rsidP="00AF524E">
            <w:pPr>
              <w:rPr>
                <w:b/>
                <w:sz w:val="22"/>
                <w:szCs w:val="22"/>
                <w:lang w:val="fr-FR"/>
              </w:rPr>
            </w:pPr>
            <w:r w:rsidRPr="007F78ED">
              <w:rPr>
                <w:sz w:val="22"/>
                <w:szCs w:val="22"/>
                <w:lang w:val="fr-FR"/>
              </w:rPr>
              <w:t>Gustave Roussy, DITEP </w:t>
            </w:r>
          </w:p>
        </w:tc>
        <w:tc>
          <w:tcPr>
            <w:tcW w:w="4606" w:type="dxa"/>
            <w:shd w:val="clear" w:color="auto" w:fill="auto"/>
            <w:vAlign w:val="center"/>
          </w:tcPr>
          <w:p w14:paraId="1CE2C54E" w14:textId="77777777" w:rsidR="00167843" w:rsidRPr="007F78ED" w:rsidRDefault="00167843" w:rsidP="00AF524E">
            <w:pPr>
              <w:rPr>
                <w:sz w:val="22"/>
                <w:szCs w:val="22"/>
                <w:lang w:val="fr-FR"/>
              </w:rPr>
            </w:pPr>
            <w:r w:rsidRPr="007F78ED">
              <w:rPr>
                <w:sz w:val="22"/>
                <w:szCs w:val="22"/>
                <w:lang w:val="fr-FR"/>
              </w:rPr>
              <w:t>Jean-Marie MICHOT</w:t>
            </w:r>
          </w:p>
          <w:p w14:paraId="4CCA2E65" w14:textId="77777777" w:rsidR="00167843" w:rsidRPr="007F78ED" w:rsidRDefault="003B3FE1" w:rsidP="00AF524E">
            <w:pPr>
              <w:rPr>
                <w:sz w:val="22"/>
                <w:szCs w:val="22"/>
                <w:lang w:val="fr-FR"/>
              </w:rPr>
            </w:pPr>
            <w:hyperlink r:id="rId9" w:history="1">
              <w:r w:rsidR="00167843" w:rsidRPr="007F78ED">
                <w:rPr>
                  <w:rStyle w:val="Lienhypertexte"/>
                  <w:color w:val="auto"/>
                  <w:sz w:val="22"/>
                  <w:szCs w:val="22"/>
                  <w:lang w:val="fr-FR"/>
                </w:rPr>
                <w:t>jean-marie.michot@gustaveroussy.fr</w:t>
              </w:r>
            </w:hyperlink>
          </w:p>
          <w:p w14:paraId="392B078F" w14:textId="77777777" w:rsidR="00362109" w:rsidRPr="005804CB" w:rsidRDefault="00362109" w:rsidP="00AF524E">
            <w:pPr>
              <w:rPr>
                <w:sz w:val="22"/>
                <w:szCs w:val="22"/>
                <w:lang w:val="fr-FR"/>
              </w:rPr>
            </w:pPr>
            <w:r w:rsidRPr="005804CB">
              <w:rPr>
                <w:sz w:val="22"/>
                <w:szCs w:val="22"/>
                <w:lang w:val="fr-FR"/>
              </w:rPr>
              <w:t xml:space="preserve">Stéphane CHAMPIAT </w:t>
            </w:r>
          </w:p>
          <w:p w14:paraId="3C4EF9DB" w14:textId="0D3A13B2" w:rsidR="00362109" w:rsidRPr="005804CB" w:rsidRDefault="003B3FE1" w:rsidP="7A2966F6">
            <w:pPr>
              <w:rPr>
                <w:sz w:val="22"/>
                <w:szCs w:val="22"/>
                <w:lang w:val="fr-FR"/>
              </w:rPr>
            </w:pPr>
            <w:hyperlink r:id="rId10">
              <w:r w:rsidR="7A2966F6" w:rsidRPr="005804CB">
                <w:rPr>
                  <w:rStyle w:val="Lienhypertexte"/>
                  <w:color w:val="auto"/>
                  <w:sz w:val="22"/>
                  <w:szCs w:val="22"/>
                  <w:lang w:val="fr-FR"/>
                </w:rPr>
                <w:t>Stéphane.champiat@gustaveroussy.fr</w:t>
              </w:r>
            </w:hyperlink>
            <w:r w:rsidR="7A2966F6" w:rsidRPr="005804CB">
              <w:rPr>
                <w:sz w:val="22"/>
                <w:szCs w:val="22"/>
                <w:lang w:val="fr-FR"/>
              </w:rPr>
              <w:t xml:space="preserve"> </w:t>
            </w:r>
            <w:r w:rsidR="7A2966F6" w:rsidRPr="7A2966F6">
              <w:rPr>
                <w:sz w:val="22"/>
                <w:szCs w:val="22"/>
                <w:lang w:val="fr-FR"/>
              </w:rPr>
              <w:t xml:space="preserve"> </w:t>
            </w:r>
          </w:p>
          <w:p w14:paraId="3FD0B37A" w14:textId="61DB32DF" w:rsidR="00362109" w:rsidRPr="007F78ED" w:rsidRDefault="7A2966F6" w:rsidP="7A2966F6">
            <w:pPr>
              <w:rPr>
                <w:sz w:val="22"/>
                <w:szCs w:val="22"/>
                <w:lang w:val="fr-FR"/>
              </w:rPr>
            </w:pPr>
            <w:proofErr w:type="spellStart"/>
            <w:r w:rsidRPr="7A2966F6">
              <w:rPr>
                <w:sz w:val="22"/>
                <w:szCs w:val="22"/>
                <w:lang w:val="fr-FR"/>
              </w:rPr>
              <w:t>Francois-Xavier</w:t>
            </w:r>
            <w:proofErr w:type="spellEnd"/>
            <w:r w:rsidRPr="7A2966F6">
              <w:rPr>
                <w:sz w:val="22"/>
                <w:szCs w:val="22"/>
                <w:lang w:val="fr-FR"/>
              </w:rPr>
              <w:t xml:space="preserve"> DANLOS </w:t>
            </w:r>
          </w:p>
          <w:p w14:paraId="3CA0391C" w14:textId="21192EBD" w:rsidR="00362109" w:rsidRPr="007F78ED" w:rsidRDefault="7A2966F6" w:rsidP="7A2966F6">
            <w:pPr>
              <w:rPr>
                <w:sz w:val="22"/>
                <w:szCs w:val="22"/>
                <w:lang w:val="fr-FR"/>
              </w:rPr>
            </w:pPr>
            <w:r w:rsidRPr="7A2966F6">
              <w:rPr>
                <w:sz w:val="22"/>
                <w:szCs w:val="22"/>
                <w:u w:val="single"/>
                <w:lang w:val="fr-FR"/>
              </w:rPr>
              <w:t>Francois-xavier.danlos@gustaveroussy.fr</w:t>
            </w:r>
            <w:r w:rsidRPr="7A2966F6">
              <w:rPr>
                <w:sz w:val="22"/>
                <w:szCs w:val="22"/>
                <w:lang w:val="fr-FR"/>
              </w:rPr>
              <w:t xml:space="preserve">  </w:t>
            </w:r>
          </w:p>
        </w:tc>
      </w:tr>
      <w:tr w:rsidR="002518A8" w:rsidRPr="007F78ED" w14:paraId="7B2B7579" w14:textId="77777777" w:rsidTr="7A2966F6">
        <w:tc>
          <w:tcPr>
            <w:tcW w:w="4606" w:type="dxa"/>
            <w:shd w:val="clear" w:color="auto" w:fill="auto"/>
            <w:vAlign w:val="center"/>
          </w:tcPr>
          <w:p w14:paraId="32D47614" w14:textId="77777777" w:rsidR="00167843" w:rsidRPr="007F78ED" w:rsidRDefault="00167843" w:rsidP="00AF524E">
            <w:pPr>
              <w:rPr>
                <w:b/>
                <w:sz w:val="22"/>
                <w:szCs w:val="22"/>
                <w:lang w:val="fr-FR"/>
              </w:rPr>
            </w:pPr>
            <w:r w:rsidRPr="007F78ED">
              <w:rPr>
                <w:sz w:val="22"/>
                <w:szCs w:val="22"/>
                <w:lang w:val="fr-FR"/>
              </w:rPr>
              <w:t>CHU Kremlin Bicêtre, Médecine Interne </w:t>
            </w:r>
          </w:p>
        </w:tc>
        <w:tc>
          <w:tcPr>
            <w:tcW w:w="4606" w:type="dxa"/>
            <w:shd w:val="clear" w:color="auto" w:fill="auto"/>
            <w:vAlign w:val="center"/>
          </w:tcPr>
          <w:p w14:paraId="1AB4442D" w14:textId="77777777" w:rsidR="00167843" w:rsidRPr="007F78ED" w:rsidRDefault="00167843" w:rsidP="00AF524E">
            <w:pPr>
              <w:rPr>
                <w:sz w:val="22"/>
                <w:szCs w:val="22"/>
                <w:lang w:val="fr-FR"/>
              </w:rPr>
            </w:pPr>
            <w:r w:rsidRPr="007F78ED">
              <w:rPr>
                <w:sz w:val="22"/>
                <w:szCs w:val="22"/>
                <w:lang w:val="fr-FR"/>
              </w:rPr>
              <w:t>Olivier LAMBOTTE</w:t>
            </w:r>
          </w:p>
          <w:p w14:paraId="058CC77F" w14:textId="77777777" w:rsidR="00167843" w:rsidRPr="007F78ED" w:rsidRDefault="003B3FE1" w:rsidP="00AF524E">
            <w:pPr>
              <w:rPr>
                <w:sz w:val="22"/>
                <w:szCs w:val="22"/>
                <w:lang w:val="fr-FR"/>
              </w:rPr>
            </w:pPr>
            <w:hyperlink r:id="rId11" w:history="1">
              <w:r w:rsidR="00167843" w:rsidRPr="007F78ED">
                <w:rPr>
                  <w:rStyle w:val="Lienhypertexte"/>
                  <w:color w:val="auto"/>
                  <w:sz w:val="22"/>
                  <w:szCs w:val="22"/>
                  <w:lang w:val="fr-FR"/>
                </w:rPr>
                <w:t>olivier.lambotte@aphp.fr</w:t>
              </w:r>
            </w:hyperlink>
          </w:p>
        </w:tc>
      </w:tr>
    </w:tbl>
    <w:p w14:paraId="5A39BBE3" w14:textId="77777777" w:rsidR="00AF524E" w:rsidRDefault="00AF524E" w:rsidP="00C05FAB">
      <w:pPr>
        <w:rPr>
          <w:b/>
          <w:color w:val="0000FF"/>
          <w:lang w:val="fr-FR"/>
        </w:rPr>
      </w:pPr>
    </w:p>
    <w:p w14:paraId="78190D72" w14:textId="77777777" w:rsidR="00961C72" w:rsidRDefault="00AF524E" w:rsidP="00C05FAB">
      <w:pPr>
        <w:rPr>
          <w:b/>
          <w:color w:val="0000FF"/>
          <w:lang w:val="fr-FR"/>
        </w:rPr>
      </w:pPr>
      <w:r>
        <w:rPr>
          <w:b/>
          <w:color w:val="0000FF"/>
          <w:lang w:val="fr-FR"/>
        </w:rPr>
        <w:t xml:space="preserve">Centres participants et </w:t>
      </w:r>
      <w:proofErr w:type="spellStart"/>
      <w:r>
        <w:rPr>
          <w:b/>
          <w:color w:val="0000FF"/>
          <w:lang w:val="fr-FR"/>
        </w:rPr>
        <w:t>c</w:t>
      </w:r>
      <w:r w:rsidR="00C05FAB" w:rsidRPr="006C1E8F">
        <w:rPr>
          <w:b/>
          <w:color w:val="0000FF"/>
          <w:lang w:val="fr-FR"/>
        </w:rPr>
        <w:t>o</w:t>
      </w:r>
      <w:proofErr w:type="spellEnd"/>
      <w:r w:rsidR="00C05FAB" w:rsidRPr="006C1E8F">
        <w:rPr>
          <w:b/>
          <w:color w:val="0000FF"/>
          <w:lang w:val="fr-FR"/>
        </w:rPr>
        <w:t>-</w:t>
      </w:r>
      <w:r>
        <w:rPr>
          <w:b/>
          <w:color w:val="0000FF"/>
          <w:lang w:val="fr-FR"/>
        </w:rPr>
        <w:t>i</w:t>
      </w:r>
      <w:r w:rsidR="00C05FAB" w:rsidRPr="006C1E8F">
        <w:rPr>
          <w:b/>
          <w:color w:val="0000FF"/>
          <w:lang w:val="fr-FR"/>
        </w:rPr>
        <w:t>nvestigateur(s):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679"/>
        <w:gridCol w:w="2315"/>
      </w:tblGrid>
      <w:tr w:rsidR="32F30848" w14:paraId="6EE48EDE" w14:textId="77777777" w:rsidTr="32F30848">
        <w:trPr>
          <w:jc w:val="center"/>
        </w:trPr>
        <w:tc>
          <w:tcPr>
            <w:tcW w:w="3291" w:type="dxa"/>
            <w:shd w:val="clear" w:color="auto" w:fill="auto"/>
            <w:vAlign w:val="center"/>
          </w:tcPr>
          <w:p w14:paraId="11CEAA8F" w14:textId="1C391642" w:rsidR="32F30848" w:rsidRDefault="32F30848" w:rsidP="32F30848">
            <w:pPr>
              <w:jc w:val="center"/>
              <w:rPr>
                <w:b/>
                <w:bCs/>
                <w:i/>
                <w:iCs/>
                <w:lang w:val="fr-FR"/>
              </w:rPr>
            </w:pPr>
            <w:r w:rsidRPr="32F30848">
              <w:rPr>
                <w:b/>
                <w:bCs/>
                <w:i/>
                <w:iCs/>
                <w:lang w:val="fr-FR"/>
              </w:rPr>
              <w:t xml:space="preserve">Centre </w:t>
            </w:r>
          </w:p>
        </w:tc>
        <w:tc>
          <w:tcPr>
            <w:tcW w:w="3697" w:type="dxa"/>
            <w:shd w:val="clear" w:color="auto" w:fill="auto"/>
            <w:vAlign w:val="center"/>
          </w:tcPr>
          <w:p w14:paraId="17DAC727" w14:textId="3873F7EF" w:rsidR="32F30848" w:rsidRDefault="32F30848" w:rsidP="32F30848">
            <w:pPr>
              <w:jc w:val="center"/>
              <w:rPr>
                <w:b/>
                <w:bCs/>
                <w:i/>
                <w:iCs/>
                <w:lang w:val="fr-FR"/>
              </w:rPr>
            </w:pPr>
            <w:r w:rsidRPr="32F30848">
              <w:rPr>
                <w:b/>
                <w:bCs/>
                <w:i/>
                <w:iCs/>
                <w:lang w:val="fr-FR"/>
              </w:rPr>
              <w:t xml:space="preserve">Investigateur principal et </w:t>
            </w:r>
            <w:proofErr w:type="spellStart"/>
            <w:r w:rsidRPr="32F30848">
              <w:rPr>
                <w:b/>
                <w:bCs/>
                <w:i/>
                <w:iCs/>
                <w:lang w:val="fr-FR"/>
              </w:rPr>
              <w:t>sub-Inv</w:t>
            </w:r>
            <w:proofErr w:type="spellEnd"/>
          </w:p>
        </w:tc>
        <w:tc>
          <w:tcPr>
            <w:tcW w:w="2300" w:type="dxa"/>
          </w:tcPr>
          <w:p w14:paraId="5ACA855E" w14:textId="0944AFF4" w:rsidR="32F30848" w:rsidRDefault="32F30848" w:rsidP="32F30848">
            <w:pPr>
              <w:jc w:val="center"/>
              <w:rPr>
                <w:b/>
                <w:bCs/>
                <w:i/>
                <w:iCs/>
                <w:lang w:val="fr-FR"/>
              </w:rPr>
            </w:pPr>
            <w:r w:rsidRPr="32F30848">
              <w:rPr>
                <w:b/>
                <w:bCs/>
                <w:i/>
                <w:iCs/>
                <w:lang w:val="fr-FR"/>
              </w:rPr>
              <w:t xml:space="preserve">Statut participation </w:t>
            </w:r>
          </w:p>
        </w:tc>
      </w:tr>
      <w:tr w:rsidR="00C65AE9" w:rsidRPr="00C65AE9" w14:paraId="61AB5B5C" w14:textId="77777777" w:rsidTr="32F30848">
        <w:trPr>
          <w:jc w:val="center"/>
        </w:trPr>
        <w:tc>
          <w:tcPr>
            <w:tcW w:w="3336" w:type="dxa"/>
            <w:shd w:val="clear" w:color="auto" w:fill="auto"/>
            <w:vAlign w:val="center"/>
          </w:tcPr>
          <w:p w14:paraId="334D1542" w14:textId="77777777" w:rsidR="00C65AE9" w:rsidRPr="00C65AE9" w:rsidRDefault="32F30848" w:rsidP="32F30848">
            <w:pPr>
              <w:jc w:val="center"/>
              <w:rPr>
                <w:sz w:val="20"/>
                <w:szCs w:val="20"/>
                <w:lang w:val="fr-FR"/>
              </w:rPr>
            </w:pPr>
            <w:r w:rsidRPr="32F30848">
              <w:rPr>
                <w:sz w:val="20"/>
                <w:szCs w:val="20"/>
                <w:lang w:val="fr-FR"/>
              </w:rPr>
              <w:t>Clermont Ferrand - CHU, Médecine Interne</w:t>
            </w:r>
          </w:p>
        </w:tc>
        <w:tc>
          <w:tcPr>
            <w:tcW w:w="3610" w:type="dxa"/>
            <w:shd w:val="clear" w:color="auto" w:fill="auto"/>
            <w:vAlign w:val="center"/>
          </w:tcPr>
          <w:p w14:paraId="7D4CFAAC" w14:textId="5CBAE839" w:rsidR="00C65AE9" w:rsidRPr="00C65AE9" w:rsidRDefault="32F30848" w:rsidP="32F30848">
            <w:pPr>
              <w:jc w:val="center"/>
              <w:rPr>
                <w:sz w:val="20"/>
                <w:szCs w:val="20"/>
                <w:lang w:val="fr-FR"/>
              </w:rPr>
            </w:pPr>
            <w:r w:rsidRPr="32F30848">
              <w:rPr>
                <w:sz w:val="20"/>
                <w:szCs w:val="20"/>
                <w:lang w:val="fr-FR"/>
              </w:rPr>
              <w:t>PI: Marc RUIVARD</w:t>
            </w:r>
          </w:p>
          <w:p w14:paraId="0298B911" w14:textId="77777777" w:rsidR="00C65AE9" w:rsidRPr="005804CB" w:rsidRDefault="003B3FE1" w:rsidP="32F30848">
            <w:pPr>
              <w:jc w:val="center"/>
              <w:rPr>
                <w:sz w:val="20"/>
                <w:szCs w:val="20"/>
                <w:lang w:val="fr-FR"/>
              </w:rPr>
            </w:pPr>
            <w:hyperlink r:id="rId12">
              <w:r w:rsidR="32F30848" w:rsidRPr="005804CB">
                <w:rPr>
                  <w:rStyle w:val="Lienhypertexte"/>
                  <w:color w:val="auto"/>
                  <w:sz w:val="20"/>
                  <w:szCs w:val="20"/>
                  <w:lang w:val="fr-FR"/>
                </w:rPr>
                <w:t>mruivard@chu-clermontferrand.fr</w:t>
              </w:r>
            </w:hyperlink>
            <w:r w:rsidR="32F30848" w:rsidRPr="005804CB">
              <w:rPr>
                <w:rStyle w:val="rwrr"/>
                <w:sz w:val="20"/>
                <w:szCs w:val="20"/>
                <w:lang w:val="fr-FR"/>
              </w:rPr>
              <w:t xml:space="preserve"> </w:t>
            </w:r>
          </w:p>
          <w:p w14:paraId="3751B93C" w14:textId="389F8665" w:rsidR="00C65AE9" w:rsidRPr="005804CB" w:rsidRDefault="32F30848" w:rsidP="32F30848">
            <w:pPr>
              <w:jc w:val="center"/>
              <w:rPr>
                <w:rStyle w:val="rwrr"/>
                <w:sz w:val="20"/>
                <w:szCs w:val="20"/>
              </w:rPr>
            </w:pPr>
            <w:r w:rsidRPr="005804CB">
              <w:rPr>
                <w:rStyle w:val="rwrr"/>
                <w:sz w:val="20"/>
                <w:szCs w:val="20"/>
              </w:rPr>
              <w:t>Sub-</w:t>
            </w:r>
            <w:proofErr w:type="spellStart"/>
            <w:r w:rsidRPr="005804CB">
              <w:rPr>
                <w:rStyle w:val="rwrr"/>
                <w:sz w:val="20"/>
                <w:szCs w:val="20"/>
              </w:rPr>
              <w:t>inv</w:t>
            </w:r>
            <w:proofErr w:type="spellEnd"/>
            <w:r w:rsidRPr="005804CB">
              <w:rPr>
                <w:rStyle w:val="rwrr"/>
                <w:sz w:val="20"/>
                <w:szCs w:val="20"/>
              </w:rPr>
              <w:t xml:space="preserve">: </w:t>
            </w:r>
            <w:proofErr w:type="spellStart"/>
            <w:r w:rsidRPr="005804CB">
              <w:rPr>
                <w:rStyle w:val="rwrr"/>
                <w:sz w:val="20"/>
                <w:szCs w:val="20"/>
              </w:rPr>
              <w:t>Hervé</w:t>
            </w:r>
            <w:proofErr w:type="spellEnd"/>
            <w:r w:rsidRPr="005804CB">
              <w:rPr>
                <w:rStyle w:val="rwrr"/>
                <w:sz w:val="20"/>
                <w:szCs w:val="20"/>
              </w:rPr>
              <w:t xml:space="preserve"> LOBBES</w:t>
            </w:r>
          </w:p>
          <w:p w14:paraId="7C3939BA" w14:textId="77777777" w:rsidR="00C65AE9" w:rsidRPr="005804CB" w:rsidRDefault="003B3FE1" w:rsidP="32F30848">
            <w:pPr>
              <w:jc w:val="center"/>
              <w:rPr>
                <w:sz w:val="20"/>
                <w:szCs w:val="20"/>
              </w:rPr>
            </w:pPr>
            <w:hyperlink r:id="rId13">
              <w:r w:rsidR="32F30848" w:rsidRPr="005804CB">
                <w:rPr>
                  <w:rStyle w:val="Lienhypertexte"/>
                  <w:color w:val="auto"/>
                  <w:sz w:val="20"/>
                  <w:szCs w:val="20"/>
                </w:rPr>
                <w:t>hlobbes@chu-clermontferrand.fr</w:t>
              </w:r>
            </w:hyperlink>
            <w:r w:rsidR="32F30848" w:rsidRPr="005804CB">
              <w:rPr>
                <w:rStyle w:val="rwrr"/>
                <w:sz w:val="20"/>
                <w:szCs w:val="20"/>
              </w:rPr>
              <w:t xml:space="preserve"> </w:t>
            </w:r>
          </w:p>
        </w:tc>
        <w:tc>
          <w:tcPr>
            <w:tcW w:w="2342" w:type="dxa"/>
          </w:tcPr>
          <w:p w14:paraId="4F70BB02" w14:textId="77777777" w:rsidR="00C65AE9" w:rsidRPr="005276E1" w:rsidRDefault="32F30848" w:rsidP="32F30848">
            <w:pPr>
              <w:jc w:val="center"/>
              <w:rPr>
                <w:b/>
                <w:bCs/>
                <w:sz w:val="20"/>
                <w:szCs w:val="20"/>
                <w:lang w:val="fr-FR"/>
              </w:rPr>
            </w:pPr>
            <w:r w:rsidRPr="32F30848">
              <w:rPr>
                <w:b/>
                <w:bCs/>
                <w:sz w:val="20"/>
                <w:szCs w:val="20"/>
                <w:lang w:val="fr-FR"/>
              </w:rPr>
              <w:t>Confirmé</w:t>
            </w:r>
          </w:p>
        </w:tc>
      </w:tr>
      <w:tr w:rsidR="00C65AE9" w:rsidRPr="00C65AE9" w14:paraId="1D262707" w14:textId="77777777" w:rsidTr="32F30848">
        <w:trPr>
          <w:jc w:val="center"/>
        </w:trPr>
        <w:tc>
          <w:tcPr>
            <w:tcW w:w="3336" w:type="dxa"/>
            <w:shd w:val="clear" w:color="auto" w:fill="auto"/>
            <w:vAlign w:val="center"/>
          </w:tcPr>
          <w:p w14:paraId="5FDB88C5" w14:textId="77777777" w:rsidR="00C65AE9" w:rsidRPr="00C65AE9" w:rsidRDefault="32F30848" w:rsidP="32F30848">
            <w:pPr>
              <w:jc w:val="center"/>
              <w:rPr>
                <w:sz w:val="20"/>
                <w:szCs w:val="20"/>
                <w:lang w:val="fr-FR"/>
              </w:rPr>
            </w:pPr>
            <w:r w:rsidRPr="32F30848">
              <w:rPr>
                <w:sz w:val="20"/>
                <w:szCs w:val="20"/>
                <w:lang w:val="fr-FR"/>
              </w:rPr>
              <w:t>Foch - Suresnes, Médecine Interne</w:t>
            </w:r>
          </w:p>
        </w:tc>
        <w:tc>
          <w:tcPr>
            <w:tcW w:w="3610" w:type="dxa"/>
            <w:shd w:val="clear" w:color="auto" w:fill="auto"/>
            <w:vAlign w:val="center"/>
          </w:tcPr>
          <w:p w14:paraId="563B1C3A" w14:textId="57C9E664" w:rsidR="00C65AE9" w:rsidRPr="005804CB" w:rsidRDefault="32F30848" w:rsidP="32F30848">
            <w:pPr>
              <w:jc w:val="center"/>
              <w:rPr>
                <w:sz w:val="20"/>
                <w:szCs w:val="20"/>
              </w:rPr>
            </w:pPr>
            <w:r w:rsidRPr="005804CB">
              <w:rPr>
                <w:sz w:val="20"/>
                <w:szCs w:val="20"/>
              </w:rPr>
              <w:t>PI: Felix ACKERMANN</w:t>
            </w:r>
          </w:p>
          <w:p w14:paraId="2A147C00" w14:textId="77777777" w:rsidR="00C65AE9" w:rsidRPr="005804CB" w:rsidRDefault="003B3FE1" w:rsidP="32F30848">
            <w:pPr>
              <w:jc w:val="center"/>
              <w:rPr>
                <w:sz w:val="20"/>
                <w:szCs w:val="20"/>
              </w:rPr>
            </w:pPr>
            <w:hyperlink r:id="rId14">
              <w:r w:rsidR="32F30848" w:rsidRPr="005804CB">
                <w:rPr>
                  <w:rStyle w:val="Lienhypertexte"/>
                  <w:color w:val="auto"/>
                  <w:sz w:val="20"/>
                  <w:szCs w:val="20"/>
                </w:rPr>
                <w:t>f.ackermann@hopital-foch.org</w:t>
              </w:r>
            </w:hyperlink>
            <w:r w:rsidR="32F30848" w:rsidRPr="005804CB">
              <w:rPr>
                <w:rStyle w:val="rwrr"/>
                <w:sz w:val="20"/>
                <w:szCs w:val="20"/>
              </w:rPr>
              <w:t xml:space="preserve"> </w:t>
            </w:r>
          </w:p>
        </w:tc>
        <w:tc>
          <w:tcPr>
            <w:tcW w:w="2342" w:type="dxa"/>
          </w:tcPr>
          <w:p w14:paraId="1F0C5F1E" w14:textId="77777777" w:rsidR="00C65AE9" w:rsidRPr="005276E1" w:rsidRDefault="32F30848" w:rsidP="32F30848">
            <w:pPr>
              <w:jc w:val="center"/>
              <w:rPr>
                <w:b/>
                <w:bCs/>
                <w:sz w:val="20"/>
                <w:szCs w:val="20"/>
                <w:lang w:val="fr-FR"/>
              </w:rPr>
            </w:pPr>
            <w:r w:rsidRPr="32F30848">
              <w:rPr>
                <w:b/>
                <w:bCs/>
                <w:sz w:val="20"/>
                <w:szCs w:val="20"/>
                <w:lang w:val="fr-FR"/>
              </w:rPr>
              <w:t>Confirmé</w:t>
            </w:r>
          </w:p>
        </w:tc>
      </w:tr>
      <w:tr w:rsidR="00C65AE9" w:rsidRPr="00C65AE9" w14:paraId="1422F386" w14:textId="77777777" w:rsidTr="32F30848">
        <w:trPr>
          <w:jc w:val="center"/>
        </w:trPr>
        <w:tc>
          <w:tcPr>
            <w:tcW w:w="3336" w:type="dxa"/>
            <w:shd w:val="clear" w:color="auto" w:fill="auto"/>
            <w:vAlign w:val="center"/>
          </w:tcPr>
          <w:p w14:paraId="419B86F0" w14:textId="77777777" w:rsidR="00C65AE9" w:rsidRPr="00C65AE9" w:rsidRDefault="32F30848" w:rsidP="32F30848">
            <w:pPr>
              <w:jc w:val="center"/>
              <w:rPr>
                <w:sz w:val="20"/>
                <w:szCs w:val="20"/>
              </w:rPr>
            </w:pPr>
            <w:r w:rsidRPr="32F30848">
              <w:rPr>
                <w:sz w:val="20"/>
                <w:szCs w:val="20"/>
                <w:lang w:val="fr-FR"/>
              </w:rPr>
              <w:t>Marseille - CHU, Médecine Interne</w:t>
            </w:r>
          </w:p>
        </w:tc>
        <w:tc>
          <w:tcPr>
            <w:tcW w:w="3610" w:type="dxa"/>
            <w:shd w:val="clear" w:color="auto" w:fill="auto"/>
            <w:vAlign w:val="center"/>
          </w:tcPr>
          <w:p w14:paraId="40423C36" w14:textId="098C0417" w:rsidR="00C65AE9" w:rsidRPr="00C65AE9" w:rsidRDefault="32F30848" w:rsidP="32F30848">
            <w:pPr>
              <w:jc w:val="center"/>
              <w:rPr>
                <w:sz w:val="20"/>
                <w:szCs w:val="20"/>
              </w:rPr>
            </w:pPr>
            <w:r w:rsidRPr="32F30848">
              <w:rPr>
                <w:sz w:val="20"/>
                <w:szCs w:val="20"/>
              </w:rPr>
              <w:t>PI: Mikael EBBO</w:t>
            </w:r>
          </w:p>
          <w:p w14:paraId="624AF9B7" w14:textId="77777777" w:rsidR="00C65AE9" w:rsidRPr="00C65AE9" w:rsidRDefault="32F30848" w:rsidP="32F30848">
            <w:pPr>
              <w:jc w:val="center"/>
              <w:rPr>
                <w:sz w:val="20"/>
                <w:szCs w:val="20"/>
              </w:rPr>
            </w:pPr>
            <w:r w:rsidRPr="32F30848">
              <w:rPr>
                <w:sz w:val="20"/>
                <w:szCs w:val="20"/>
              </w:rPr>
              <w:t> </w:t>
            </w:r>
            <w:hyperlink r:id="rId15">
              <w:r w:rsidRPr="32F30848">
                <w:rPr>
                  <w:rStyle w:val="Lienhypertexte"/>
                  <w:color w:val="auto"/>
                  <w:sz w:val="20"/>
                  <w:szCs w:val="20"/>
                </w:rPr>
                <w:t>ebbo@ciml.univ-mrs.fr</w:t>
              </w:r>
            </w:hyperlink>
            <w:r w:rsidRPr="32F30848">
              <w:rPr>
                <w:rStyle w:val="rwrr"/>
                <w:sz w:val="20"/>
                <w:szCs w:val="20"/>
              </w:rPr>
              <w:t xml:space="preserve"> </w:t>
            </w:r>
          </w:p>
        </w:tc>
        <w:tc>
          <w:tcPr>
            <w:tcW w:w="2342" w:type="dxa"/>
          </w:tcPr>
          <w:p w14:paraId="556CCA40" w14:textId="77777777" w:rsidR="00C65AE9" w:rsidRPr="005276E1" w:rsidRDefault="32F30848" w:rsidP="32F30848">
            <w:pPr>
              <w:jc w:val="center"/>
              <w:rPr>
                <w:b/>
                <w:bCs/>
                <w:sz w:val="20"/>
                <w:szCs w:val="20"/>
              </w:rPr>
            </w:pPr>
            <w:r w:rsidRPr="32F30848">
              <w:rPr>
                <w:b/>
                <w:bCs/>
                <w:sz w:val="20"/>
                <w:szCs w:val="20"/>
                <w:lang w:val="fr-FR"/>
              </w:rPr>
              <w:t>Confirmé</w:t>
            </w:r>
          </w:p>
        </w:tc>
      </w:tr>
      <w:tr w:rsidR="00C65AE9" w:rsidRPr="00C65AE9" w14:paraId="73F5F296" w14:textId="77777777" w:rsidTr="32F30848">
        <w:trPr>
          <w:jc w:val="center"/>
        </w:trPr>
        <w:tc>
          <w:tcPr>
            <w:tcW w:w="3336" w:type="dxa"/>
            <w:shd w:val="clear" w:color="auto" w:fill="auto"/>
            <w:vAlign w:val="center"/>
          </w:tcPr>
          <w:p w14:paraId="7F7904E2" w14:textId="77777777" w:rsidR="00C65AE9" w:rsidRPr="00C65AE9" w:rsidRDefault="32F30848" w:rsidP="32F30848">
            <w:pPr>
              <w:jc w:val="center"/>
              <w:rPr>
                <w:sz w:val="20"/>
                <w:szCs w:val="20"/>
                <w:lang w:val="fr-FR"/>
              </w:rPr>
            </w:pPr>
            <w:r w:rsidRPr="32F30848">
              <w:rPr>
                <w:sz w:val="20"/>
                <w:szCs w:val="20"/>
                <w:lang w:val="fr-FR"/>
              </w:rPr>
              <w:t xml:space="preserve">Montpellier - CHU, Médecine Interne </w:t>
            </w:r>
          </w:p>
        </w:tc>
        <w:tc>
          <w:tcPr>
            <w:tcW w:w="3610" w:type="dxa"/>
            <w:shd w:val="clear" w:color="auto" w:fill="auto"/>
            <w:vAlign w:val="center"/>
          </w:tcPr>
          <w:p w14:paraId="5A54537E" w14:textId="5B6D9C8F" w:rsidR="00C65AE9" w:rsidRPr="00C65AE9" w:rsidRDefault="32F30848" w:rsidP="32F30848">
            <w:pPr>
              <w:jc w:val="center"/>
              <w:rPr>
                <w:sz w:val="20"/>
                <w:szCs w:val="20"/>
                <w:lang w:val="fr-FR"/>
              </w:rPr>
            </w:pPr>
            <w:r w:rsidRPr="32F30848">
              <w:rPr>
                <w:sz w:val="20"/>
                <w:szCs w:val="20"/>
                <w:lang w:val="fr-FR"/>
              </w:rPr>
              <w:t>PI: Alexandre MARIA</w:t>
            </w:r>
          </w:p>
          <w:p w14:paraId="5DF54796" w14:textId="77777777" w:rsidR="00C65AE9" w:rsidRPr="00C65AE9" w:rsidRDefault="003B3FE1" w:rsidP="32F30848">
            <w:pPr>
              <w:jc w:val="center"/>
              <w:rPr>
                <w:sz w:val="20"/>
                <w:szCs w:val="20"/>
                <w:lang w:val="fr-FR"/>
              </w:rPr>
            </w:pPr>
            <w:hyperlink r:id="rId16">
              <w:r w:rsidR="32F30848" w:rsidRPr="32F30848">
                <w:rPr>
                  <w:rStyle w:val="Lienhypertexte"/>
                  <w:color w:val="auto"/>
                  <w:sz w:val="20"/>
                  <w:szCs w:val="20"/>
                  <w:lang w:val="fr-FR"/>
                </w:rPr>
                <w:t>a-maria@chu-montpellier.fr</w:t>
              </w:r>
            </w:hyperlink>
            <w:r w:rsidR="32F30848" w:rsidRPr="32F30848">
              <w:rPr>
                <w:rStyle w:val="rwrr"/>
                <w:sz w:val="20"/>
                <w:szCs w:val="20"/>
                <w:lang w:val="fr-FR"/>
              </w:rPr>
              <w:t xml:space="preserve"> </w:t>
            </w:r>
          </w:p>
        </w:tc>
        <w:tc>
          <w:tcPr>
            <w:tcW w:w="2342" w:type="dxa"/>
          </w:tcPr>
          <w:p w14:paraId="5137980D" w14:textId="77777777" w:rsidR="00C65AE9" w:rsidRPr="005276E1" w:rsidRDefault="32F30848" w:rsidP="32F30848">
            <w:pPr>
              <w:jc w:val="center"/>
              <w:rPr>
                <w:b/>
                <w:bCs/>
                <w:sz w:val="20"/>
                <w:szCs w:val="20"/>
                <w:lang w:val="fr-FR"/>
              </w:rPr>
            </w:pPr>
            <w:r w:rsidRPr="32F30848">
              <w:rPr>
                <w:b/>
                <w:bCs/>
                <w:sz w:val="20"/>
                <w:szCs w:val="20"/>
                <w:lang w:val="fr-FR"/>
              </w:rPr>
              <w:t>Confirmé</w:t>
            </w:r>
          </w:p>
        </w:tc>
      </w:tr>
      <w:tr w:rsidR="00C65AE9" w:rsidRPr="00C65AE9" w14:paraId="53FCDAB0" w14:textId="77777777" w:rsidTr="32F30848">
        <w:trPr>
          <w:jc w:val="center"/>
        </w:trPr>
        <w:tc>
          <w:tcPr>
            <w:tcW w:w="3336" w:type="dxa"/>
            <w:shd w:val="clear" w:color="auto" w:fill="auto"/>
            <w:vAlign w:val="center"/>
          </w:tcPr>
          <w:p w14:paraId="5181189C" w14:textId="77777777" w:rsidR="00C65AE9" w:rsidRPr="00C65AE9" w:rsidRDefault="32F30848" w:rsidP="32F30848">
            <w:pPr>
              <w:jc w:val="center"/>
              <w:rPr>
                <w:sz w:val="20"/>
                <w:szCs w:val="20"/>
                <w:lang w:val="fr-FR"/>
              </w:rPr>
            </w:pPr>
            <w:r w:rsidRPr="32F30848">
              <w:rPr>
                <w:sz w:val="20"/>
                <w:szCs w:val="20"/>
                <w:lang w:val="fr-FR"/>
              </w:rPr>
              <w:t>Toulouse -</w:t>
            </w:r>
            <w:proofErr w:type="spellStart"/>
            <w:r w:rsidRPr="32F30848">
              <w:rPr>
                <w:sz w:val="20"/>
                <w:szCs w:val="20"/>
                <w:lang w:val="fr-FR"/>
              </w:rPr>
              <w:t>Oncopole</w:t>
            </w:r>
            <w:proofErr w:type="spellEnd"/>
            <w:r w:rsidRPr="32F30848">
              <w:rPr>
                <w:sz w:val="20"/>
                <w:szCs w:val="20"/>
                <w:lang w:val="fr-FR"/>
              </w:rPr>
              <w:t>, Médecine Interne</w:t>
            </w:r>
          </w:p>
        </w:tc>
        <w:tc>
          <w:tcPr>
            <w:tcW w:w="3610" w:type="dxa"/>
            <w:shd w:val="clear" w:color="auto" w:fill="auto"/>
            <w:vAlign w:val="center"/>
          </w:tcPr>
          <w:p w14:paraId="0BEECC6F" w14:textId="7B47B126" w:rsidR="00C65AE9" w:rsidRPr="00C65AE9" w:rsidRDefault="32F30848" w:rsidP="32F30848">
            <w:pPr>
              <w:jc w:val="center"/>
              <w:rPr>
                <w:rStyle w:val="rwrr"/>
                <w:sz w:val="20"/>
                <w:szCs w:val="20"/>
              </w:rPr>
            </w:pPr>
            <w:r w:rsidRPr="32F30848">
              <w:rPr>
                <w:rStyle w:val="rwrr"/>
                <w:sz w:val="20"/>
                <w:szCs w:val="20"/>
              </w:rPr>
              <w:t>PI: Thibault COMONT</w:t>
            </w:r>
          </w:p>
          <w:p w14:paraId="29267E0E" w14:textId="77777777" w:rsidR="00C65AE9" w:rsidRPr="00C65AE9" w:rsidRDefault="003B3FE1" w:rsidP="32F30848">
            <w:pPr>
              <w:jc w:val="center"/>
              <w:rPr>
                <w:rStyle w:val="rwrr"/>
                <w:sz w:val="20"/>
                <w:szCs w:val="20"/>
              </w:rPr>
            </w:pPr>
            <w:hyperlink r:id="rId17">
              <w:r w:rsidR="32F30848" w:rsidRPr="32F30848">
                <w:rPr>
                  <w:rStyle w:val="Lienhypertexte"/>
                  <w:color w:val="auto"/>
                  <w:sz w:val="20"/>
                  <w:szCs w:val="20"/>
                </w:rPr>
                <w:t>Comont.Thibault@iuct-oncopole.fr</w:t>
              </w:r>
            </w:hyperlink>
            <w:r w:rsidR="32F30848" w:rsidRPr="32F30848">
              <w:rPr>
                <w:rStyle w:val="rwrr"/>
                <w:sz w:val="20"/>
                <w:szCs w:val="20"/>
              </w:rPr>
              <w:t xml:space="preserve"> </w:t>
            </w:r>
          </w:p>
          <w:p w14:paraId="5928D94A" w14:textId="0FFFFFB5" w:rsidR="00C65AE9" w:rsidRPr="00C65AE9" w:rsidRDefault="32F30848" w:rsidP="32F30848">
            <w:pPr>
              <w:jc w:val="center"/>
              <w:rPr>
                <w:sz w:val="20"/>
                <w:szCs w:val="20"/>
              </w:rPr>
            </w:pPr>
            <w:r w:rsidRPr="32F30848">
              <w:rPr>
                <w:sz w:val="20"/>
                <w:szCs w:val="20"/>
              </w:rPr>
              <w:t>Sub-</w:t>
            </w:r>
            <w:proofErr w:type="spellStart"/>
            <w:r w:rsidRPr="32F30848">
              <w:rPr>
                <w:sz w:val="20"/>
                <w:szCs w:val="20"/>
              </w:rPr>
              <w:t>Inv</w:t>
            </w:r>
            <w:proofErr w:type="spellEnd"/>
            <w:r w:rsidRPr="32F30848">
              <w:rPr>
                <w:sz w:val="20"/>
                <w:szCs w:val="20"/>
              </w:rPr>
              <w:t xml:space="preserve">: </w:t>
            </w:r>
            <w:proofErr w:type="spellStart"/>
            <w:r w:rsidRPr="32F30848">
              <w:rPr>
                <w:sz w:val="20"/>
                <w:szCs w:val="20"/>
              </w:rPr>
              <w:t>Odile</w:t>
            </w:r>
            <w:proofErr w:type="spellEnd"/>
            <w:r w:rsidRPr="32F30848">
              <w:rPr>
                <w:sz w:val="20"/>
                <w:szCs w:val="20"/>
              </w:rPr>
              <w:t xml:space="preserve"> BEYNE-RAUZY</w:t>
            </w:r>
          </w:p>
          <w:p w14:paraId="61065841" w14:textId="77777777" w:rsidR="00C65AE9" w:rsidRPr="00C65AE9" w:rsidRDefault="003B3FE1" w:rsidP="32F30848">
            <w:pPr>
              <w:jc w:val="center"/>
              <w:rPr>
                <w:sz w:val="20"/>
                <w:szCs w:val="20"/>
              </w:rPr>
            </w:pPr>
            <w:hyperlink r:id="rId18">
              <w:r w:rsidR="32F30848" w:rsidRPr="32F30848">
                <w:rPr>
                  <w:rStyle w:val="Lienhypertexte"/>
                  <w:color w:val="auto"/>
                  <w:sz w:val="20"/>
                  <w:szCs w:val="20"/>
                </w:rPr>
                <w:t>BeyneRauzy.Odile@iuct-oncopole.fr</w:t>
              </w:r>
            </w:hyperlink>
            <w:r w:rsidR="32F30848" w:rsidRPr="32F30848">
              <w:rPr>
                <w:rStyle w:val="rwrr"/>
                <w:sz w:val="20"/>
                <w:szCs w:val="20"/>
              </w:rPr>
              <w:t xml:space="preserve"> </w:t>
            </w:r>
            <w:r w:rsidR="32F30848" w:rsidRPr="32F30848">
              <w:rPr>
                <w:sz w:val="20"/>
                <w:szCs w:val="20"/>
              </w:rPr>
              <w:t xml:space="preserve">  </w:t>
            </w:r>
          </w:p>
        </w:tc>
        <w:tc>
          <w:tcPr>
            <w:tcW w:w="2342" w:type="dxa"/>
          </w:tcPr>
          <w:p w14:paraId="3A7AD83D" w14:textId="77777777" w:rsidR="00C65AE9" w:rsidRPr="005276E1" w:rsidRDefault="32F30848" w:rsidP="32F30848">
            <w:pPr>
              <w:jc w:val="center"/>
              <w:rPr>
                <w:rStyle w:val="rwrr"/>
                <w:b/>
                <w:bCs/>
                <w:sz w:val="20"/>
                <w:szCs w:val="20"/>
              </w:rPr>
            </w:pPr>
            <w:r w:rsidRPr="32F30848">
              <w:rPr>
                <w:b/>
                <w:bCs/>
                <w:sz w:val="20"/>
                <w:szCs w:val="20"/>
                <w:lang w:val="fr-FR"/>
              </w:rPr>
              <w:t>Confirmé</w:t>
            </w:r>
          </w:p>
        </w:tc>
      </w:tr>
      <w:tr w:rsidR="00C65AE9" w:rsidRPr="00C65AE9" w14:paraId="1093F8F8" w14:textId="77777777" w:rsidTr="32F30848">
        <w:trPr>
          <w:jc w:val="center"/>
        </w:trPr>
        <w:tc>
          <w:tcPr>
            <w:tcW w:w="3336" w:type="dxa"/>
            <w:shd w:val="clear" w:color="auto" w:fill="auto"/>
            <w:vAlign w:val="center"/>
          </w:tcPr>
          <w:p w14:paraId="304F98A2" w14:textId="6F33DEB6" w:rsidR="00C65AE9" w:rsidRPr="00C65AE9" w:rsidRDefault="32F30848" w:rsidP="32F30848">
            <w:pPr>
              <w:jc w:val="center"/>
              <w:rPr>
                <w:sz w:val="20"/>
                <w:szCs w:val="20"/>
                <w:lang w:val="fr-FR"/>
              </w:rPr>
            </w:pPr>
            <w:r w:rsidRPr="32F30848">
              <w:rPr>
                <w:sz w:val="20"/>
                <w:szCs w:val="20"/>
                <w:lang w:val="fr-FR"/>
              </w:rPr>
              <w:t>Lyon Sud - Neurologie</w:t>
            </w:r>
          </w:p>
        </w:tc>
        <w:tc>
          <w:tcPr>
            <w:tcW w:w="3610" w:type="dxa"/>
            <w:shd w:val="clear" w:color="auto" w:fill="auto"/>
            <w:vAlign w:val="center"/>
          </w:tcPr>
          <w:p w14:paraId="56683992" w14:textId="2E40A15B" w:rsidR="00C65AE9" w:rsidRPr="005804CB" w:rsidRDefault="32F30848" w:rsidP="32F30848">
            <w:pPr>
              <w:jc w:val="center"/>
              <w:rPr>
                <w:rStyle w:val="rwrr"/>
                <w:sz w:val="20"/>
                <w:szCs w:val="20"/>
                <w:lang w:val="fr-FR"/>
              </w:rPr>
            </w:pPr>
            <w:r w:rsidRPr="005804CB">
              <w:rPr>
                <w:rStyle w:val="rwrr"/>
                <w:sz w:val="20"/>
                <w:szCs w:val="20"/>
                <w:lang w:val="fr-FR"/>
              </w:rPr>
              <w:t>PI: Jérôme HONNORAT</w:t>
            </w:r>
          </w:p>
          <w:p w14:paraId="0A4CC5D8" w14:textId="507C9F4E" w:rsidR="00C65AE9" w:rsidRPr="005804CB" w:rsidRDefault="32F30848" w:rsidP="32F30848">
            <w:pPr>
              <w:jc w:val="center"/>
              <w:rPr>
                <w:sz w:val="20"/>
                <w:szCs w:val="20"/>
                <w:lang w:val="fr-FR"/>
              </w:rPr>
            </w:pPr>
            <w:r w:rsidRPr="005804CB">
              <w:rPr>
                <w:sz w:val="20"/>
                <w:szCs w:val="20"/>
                <w:u w:val="single"/>
                <w:lang w:val="fr-FR"/>
              </w:rPr>
              <w:t>jerome.honnorat@chu-lyon.fr</w:t>
            </w:r>
          </w:p>
          <w:p w14:paraId="4801F719" w14:textId="78671026" w:rsidR="00C65AE9" w:rsidRPr="00C65AE9" w:rsidRDefault="32F30848" w:rsidP="32F30848">
            <w:pPr>
              <w:jc w:val="center"/>
              <w:rPr>
                <w:sz w:val="20"/>
                <w:szCs w:val="20"/>
              </w:rPr>
            </w:pPr>
            <w:r w:rsidRPr="32F30848">
              <w:rPr>
                <w:sz w:val="20"/>
                <w:szCs w:val="20"/>
              </w:rPr>
              <w:t>Sub-</w:t>
            </w:r>
            <w:proofErr w:type="spellStart"/>
            <w:r w:rsidRPr="32F30848">
              <w:rPr>
                <w:sz w:val="20"/>
                <w:szCs w:val="20"/>
              </w:rPr>
              <w:t>Inv</w:t>
            </w:r>
            <w:proofErr w:type="spellEnd"/>
            <w:r w:rsidRPr="32F30848">
              <w:rPr>
                <w:sz w:val="20"/>
                <w:szCs w:val="20"/>
              </w:rPr>
              <w:t xml:space="preserve">: </w:t>
            </w:r>
            <w:r w:rsidRPr="32F30848">
              <w:rPr>
                <w:sz w:val="20"/>
                <w:szCs w:val="20"/>
                <w:u w:val="single"/>
              </w:rPr>
              <w:t>bastien.joubert@chu-lyon.fr</w:t>
            </w:r>
            <w:r w:rsidRPr="32F30848">
              <w:rPr>
                <w:sz w:val="20"/>
                <w:szCs w:val="20"/>
              </w:rPr>
              <w:t xml:space="preserve"> </w:t>
            </w:r>
          </w:p>
        </w:tc>
        <w:tc>
          <w:tcPr>
            <w:tcW w:w="2342" w:type="dxa"/>
          </w:tcPr>
          <w:p w14:paraId="7F7376C2" w14:textId="77777777" w:rsidR="00C65AE9" w:rsidRPr="005276E1" w:rsidRDefault="32F30848" w:rsidP="32F30848">
            <w:pPr>
              <w:jc w:val="center"/>
              <w:rPr>
                <w:rStyle w:val="rwrr"/>
                <w:b/>
                <w:bCs/>
                <w:sz w:val="20"/>
                <w:szCs w:val="20"/>
              </w:rPr>
            </w:pPr>
            <w:r w:rsidRPr="32F30848">
              <w:rPr>
                <w:b/>
                <w:bCs/>
                <w:sz w:val="20"/>
                <w:szCs w:val="20"/>
                <w:lang w:val="fr-FR"/>
              </w:rPr>
              <w:t>Confirmé</w:t>
            </w:r>
          </w:p>
        </w:tc>
      </w:tr>
      <w:tr w:rsidR="00C65AE9" w:rsidRPr="00C65AE9" w14:paraId="5AE8A01A" w14:textId="77777777" w:rsidTr="32F30848">
        <w:trPr>
          <w:jc w:val="center"/>
        </w:trPr>
        <w:tc>
          <w:tcPr>
            <w:tcW w:w="3336" w:type="dxa"/>
            <w:shd w:val="clear" w:color="auto" w:fill="auto"/>
            <w:vAlign w:val="center"/>
          </w:tcPr>
          <w:p w14:paraId="25B2B69D" w14:textId="77777777" w:rsidR="00C65AE9" w:rsidRPr="00C65AE9" w:rsidRDefault="32F30848" w:rsidP="32F30848">
            <w:pPr>
              <w:jc w:val="center"/>
              <w:rPr>
                <w:sz w:val="20"/>
                <w:szCs w:val="20"/>
                <w:lang w:val="fr-FR"/>
              </w:rPr>
            </w:pPr>
            <w:r w:rsidRPr="32F30848">
              <w:rPr>
                <w:sz w:val="20"/>
                <w:szCs w:val="20"/>
                <w:lang w:val="fr-FR"/>
              </w:rPr>
              <w:t xml:space="preserve">Lyon - </w:t>
            </w:r>
            <w:proofErr w:type="spellStart"/>
            <w:r w:rsidRPr="32F30848">
              <w:rPr>
                <w:sz w:val="20"/>
                <w:szCs w:val="20"/>
                <w:lang w:val="fr-FR"/>
              </w:rPr>
              <w:t>Leon</w:t>
            </w:r>
            <w:proofErr w:type="spellEnd"/>
            <w:r w:rsidRPr="32F30848">
              <w:rPr>
                <w:sz w:val="20"/>
                <w:szCs w:val="20"/>
                <w:lang w:val="fr-FR"/>
              </w:rPr>
              <w:t xml:space="preserve"> Bérard </w:t>
            </w:r>
          </w:p>
        </w:tc>
        <w:tc>
          <w:tcPr>
            <w:tcW w:w="3610" w:type="dxa"/>
            <w:shd w:val="clear" w:color="auto" w:fill="auto"/>
            <w:vAlign w:val="center"/>
          </w:tcPr>
          <w:p w14:paraId="0C559735" w14:textId="4DF0C3E7" w:rsidR="32F30848" w:rsidRDefault="32F30848" w:rsidP="32F30848">
            <w:pPr>
              <w:jc w:val="center"/>
              <w:rPr>
                <w:rStyle w:val="rwrro"/>
                <w:sz w:val="20"/>
                <w:szCs w:val="20"/>
              </w:rPr>
            </w:pPr>
            <w:r w:rsidRPr="32F30848">
              <w:rPr>
                <w:rStyle w:val="rwrro"/>
                <w:sz w:val="20"/>
                <w:szCs w:val="20"/>
              </w:rPr>
              <w:t xml:space="preserve">PI: ASSAAD </w:t>
            </w:r>
            <w:proofErr w:type="spellStart"/>
            <w:r w:rsidRPr="32F30848">
              <w:rPr>
                <w:rStyle w:val="rwrro"/>
                <w:sz w:val="20"/>
                <w:szCs w:val="20"/>
              </w:rPr>
              <w:t>Souad</w:t>
            </w:r>
            <w:proofErr w:type="spellEnd"/>
            <w:r w:rsidRPr="32F30848">
              <w:rPr>
                <w:rStyle w:val="rwrro"/>
                <w:sz w:val="20"/>
                <w:szCs w:val="20"/>
              </w:rPr>
              <w:t xml:space="preserve"> ‎</w:t>
            </w:r>
          </w:p>
          <w:p w14:paraId="5F8CE318" w14:textId="2C2F8AEA" w:rsidR="32F30848" w:rsidRDefault="32F30848" w:rsidP="32F30848">
            <w:pPr>
              <w:jc w:val="center"/>
              <w:rPr>
                <w:sz w:val="20"/>
                <w:szCs w:val="20"/>
              </w:rPr>
            </w:pPr>
            <w:r w:rsidRPr="32F30848">
              <w:rPr>
                <w:sz w:val="20"/>
                <w:szCs w:val="20"/>
                <w:u w:val="single"/>
              </w:rPr>
              <w:t>Souad.ASSAAD@lyon.unicancer.fr</w:t>
            </w:r>
          </w:p>
          <w:p w14:paraId="72A3D3EC" w14:textId="05B53654" w:rsidR="00C65AE9" w:rsidRPr="00C65AE9" w:rsidRDefault="32F30848" w:rsidP="32F30848">
            <w:pPr>
              <w:jc w:val="center"/>
              <w:rPr>
                <w:rStyle w:val="rwrro"/>
                <w:sz w:val="20"/>
                <w:szCs w:val="20"/>
              </w:rPr>
            </w:pPr>
            <w:r w:rsidRPr="32F30848">
              <w:rPr>
                <w:rStyle w:val="rwrr"/>
                <w:sz w:val="20"/>
                <w:szCs w:val="20"/>
              </w:rPr>
              <w:t>Sub-</w:t>
            </w:r>
            <w:proofErr w:type="spellStart"/>
            <w:r w:rsidRPr="32F30848">
              <w:rPr>
                <w:rStyle w:val="rwrr"/>
                <w:sz w:val="20"/>
                <w:szCs w:val="20"/>
              </w:rPr>
              <w:t>Inv</w:t>
            </w:r>
            <w:proofErr w:type="spellEnd"/>
            <w:r w:rsidRPr="32F30848">
              <w:rPr>
                <w:rStyle w:val="rwrr"/>
                <w:sz w:val="20"/>
                <w:szCs w:val="20"/>
              </w:rPr>
              <w:t xml:space="preserve">: Isabelle RAY-COQUARD </w:t>
            </w:r>
            <w:r w:rsidRPr="32F30848">
              <w:rPr>
                <w:rStyle w:val="rwrr"/>
                <w:sz w:val="20"/>
                <w:szCs w:val="20"/>
                <w:u w:val="single"/>
              </w:rPr>
              <w:t>isabelle.ray-coquard@lyon.unicancer.fr</w:t>
            </w:r>
          </w:p>
        </w:tc>
        <w:tc>
          <w:tcPr>
            <w:tcW w:w="2342" w:type="dxa"/>
          </w:tcPr>
          <w:p w14:paraId="5EE1205F" w14:textId="77777777" w:rsidR="00C65AE9" w:rsidRPr="005276E1" w:rsidRDefault="32F30848" w:rsidP="32F30848">
            <w:pPr>
              <w:jc w:val="center"/>
              <w:rPr>
                <w:rStyle w:val="rwrr"/>
                <w:b/>
                <w:bCs/>
                <w:sz w:val="20"/>
                <w:szCs w:val="20"/>
              </w:rPr>
            </w:pPr>
            <w:r w:rsidRPr="32F30848">
              <w:rPr>
                <w:b/>
                <w:bCs/>
                <w:sz w:val="20"/>
                <w:szCs w:val="20"/>
                <w:lang w:val="fr-FR"/>
              </w:rPr>
              <w:t>Confirmé</w:t>
            </w:r>
          </w:p>
        </w:tc>
      </w:tr>
      <w:tr w:rsidR="00C65AE9" w:rsidRPr="00C65AE9" w14:paraId="00969158" w14:textId="77777777" w:rsidTr="32F30848">
        <w:trPr>
          <w:jc w:val="center"/>
        </w:trPr>
        <w:tc>
          <w:tcPr>
            <w:tcW w:w="3336" w:type="dxa"/>
            <w:shd w:val="clear" w:color="auto" w:fill="auto"/>
            <w:vAlign w:val="center"/>
          </w:tcPr>
          <w:p w14:paraId="1D65CB5A" w14:textId="77777777" w:rsidR="00C65AE9" w:rsidRPr="00C65AE9" w:rsidRDefault="32F30848" w:rsidP="32F30848">
            <w:pPr>
              <w:jc w:val="center"/>
              <w:rPr>
                <w:sz w:val="20"/>
                <w:szCs w:val="20"/>
                <w:lang w:val="fr-FR"/>
              </w:rPr>
            </w:pPr>
            <w:r w:rsidRPr="32F30848">
              <w:rPr>
                <w:sz w:val="20"/>
                <w:szCs w:val="20"/>
                <w:lang w:val="fr-FR"/>
              </w:rPr>
              <w:t>La-Rochelle</w:t>
            </w:r>
          </w:p>
        </w:tc>
        <w:tc>
          <w:tcPr>
            <w:tcW w:w="3610" w:type="dxa"/>
            <w:shd w:val="clear" w:color="auto" w:fill="auto"/>
            <w:vAlign w:val="center"/>
          </w:tcPr>
          <w:p w14:paraId="607A8909" w14:textId="2B70585E" w:rsidR="00C65AE9" w:rsidRPr="00C65AE9" w:rsidRDefault="32F30848" w:rsidP="32F30848">
            <w:pPr>
              <w:jc w:val="center"/>
              <w:rPr>
                <w:rStyle w:val="rwrr"/>
                <w:sz w:val="20"/>
                <w:szCs w:val="20"/>
              </w:rPr>
            </w:pPr>
            <w:r w:rsidRPr="32F30848">
              <w:rPr>
                <w:rStyle w:val="rwrr"/>
                <w:sz w:val="20"/>
                <w:szCs w:val="20"/>
              </w:rPr>
              <w:t xml:space="preserve">PI: </w:t>
            </w:r>
            <w:proofErr w:type="spellStart"/>
            <w:r w:rsidRPr="32F30848">
              <w:rPr>
                <w:rStyle w:val="rwrr"/>
                <w:sz w:val="20"/>
                <w:szCs w:val="20"/>
              </w:rPr>
              <w:t>Mathilde</w:t>
            </w:r>
            <w:proofErr w:type="spellEnd"/>
            <w:r w:rsidRPr="32F30848">
              <w:rPr>
                <w:rStyle w:val="rwrr"/>
                <w:sz w:val="20"/>
                <w:szCs w:val="20"/>
              </w:rPr>
              <w:t xml:space="preserve"> SMALL</w:t>
            </w:r>
          </w:p>
          <w:p w14:paraId="434F291A" w14:textId="44131285" w:rsidR="00C65AE9" w:rsidRPr="00C65AE9" w:rsidRDefault="00C65AE9" w:rsidP="32F30848">
            <w:pPr>
              <w:jc w:val="center"/>
              <w:rPr>
                <w:rStyle w:val="rwrr"/>
                <w:sz w:val="20"/>
                <w:szCs w:val="20"/>
              </w:rPr>
            </w:pPr>
          </w:p>
        </w:tc>
        <w:tc>
          <w:tcPr>
            <w:tcW w:w="2342" w:type="dxa"/>
          </w:tcPr>
          <w:p w14:paraId="0A711A4F" w14:textId="77777777" w:rsidR="00C65AE9" w:rsidRPr="005276E1" w:rsidRDefault="32F30848" w:rsidP="32F30848">
            <w:pPr>
              <w:jc w:val="center"/>
              <w:rPr>
                <w:rStyle w:val="rwrr"/>
                <w:b/>
                <w:bCs/>
                <w:sz w:val="20"/>
                <w:szCs w:val="20"/>
              </w:rPr>
            </w:pPr>
            <w:r w:rsidRPr="32F30848">
              <w:rPr>
                <w:b/>
                <w:bCs/>
                <w:sz w:val="20"/>
                <w:szCs w:val="20"/>
                <w:lang w:val="fr-FR"/>
              </w:rPr>
              <w:t>Confirmé</w:t>
            </w:r>
          </w:p>
        </w:tc>
      </w:tr>
      <w:tr w:rsidR="32F30848" w14:paraId="3ABC5BB6" w14:textId="77777777" w:rsidTr="32F30848">
        <w:trPr>
          <w:jc w:val="center"/>
        </w:trPr>
        <w:tc>
          <w:tcPr>
            <w:tcW w:w="3291" w:type="dxa"/>
            <w:shd w:val="clear" w:color="auto" w:fill="auto"/>
            <w:vAlign w:val="center"/>
          </w:tcPr>
          <w:p w14:paraId="4F0AD569" w14:textId="77777777" w:rsidR="32F30848" w:rsidRDefault="32F30848" w:rsidP="32F30848">
            <w:pPr>
              <w:jc w:val="center"/>
              <w:rPr>
                <w:sz w:val="20"/>
                <w:szCs w:val="20"/>
                <w:lang w:val="fr-FR"/>
              </w:rPr>
            </w:pPr>
            <w:r w:rsidRPr="32F30848">
              <w:rPr>
                <w:sz w:val="20"/>
                <w:szCs w:val="20"/>
                <w:lang w:val="fr-FR"/>
              </w:rPr>
              <w:t>Paris - APHP Pitié-Salpêtrière, Médecine Interne</w:t>
            </w:r>
          </w:p>
        </w:tc>
        <w:tc>
          <w:tcPr>
            <w:tcW w:w="3697" w:type="dxa"/>
            <w:shd w:val="clear" w:color="auto" w:fill="auto"/>
            <w:vAlign w:val="center"/>
          </w:tcPr>
          <w:p w14:paraId="568FBD9E" w14:textId="030354BC" w:rsidR="32F30848" w:rsidRDefault="32F30848" w:rsidP="32F30848">
            <w:pPr>
              <w:jc w:val="center"/>
              <w:rPr>
                <w:sz w:val="20"/>
                <w:szCs w:val="20"/>
                <w:lang w:val="fr-FR"/>
              </w:rPr>
            </w:pPr>
            <w:r w:rsidRPr="32F30848">
              <w:rPr>
                <w:sz w:val="20"/>
                <w:szCs w:val="20"/>
                <w:lang w:val="fr-FR"/>
              </w:rPr>
              <w:t>PI: Fleur COHEN AUNBARD</w:t>
            </w:r>
          </w:p>
          <w:p w14:paraId="535582FB" w14:textId="030CB248" w:rsidR="32F30848" w:rsidRDefault="32F30848" w:rsidP="32F30848">
            <w:pPr>
              <w:jc w:val="center"/>
              <w:rPr>
                <w:sz w:val="20"/>
                <w:szCs w:val="20"/>
                <w:lang w:val="fr-FR"/>
              </w:rPr>
            </w:pPr>
            <w:r w:rsidRPr="32F30848">
              <w:rPr>
                <w:sz w:val="20"/>
                <w:szCs w:val="20"/>
                <w:u w:val="single"/>
                <w:lang w:val="fr-FR"/>
              </w:rPr>
              <w:t>fleur.cohen@aphp.fr</w:t>
            </w:r>
            <w:r w:rsidRPr="32F30848">
              <w:rPr>
                <w:sz w:val="20"/>
                <w:szCs w:val="20"/>
                <w:lang w:val="fr-FR"/>
              </w:rPr>
              <w:t xml:space="preserve"> </w:t>
            </w:r>
          </w:p>
        </w:tc>
        <w:tc>
          <w:tcPr>
            <w:tcW w:w="2300" w:type="dxa"/>
          </w:tcPr>
          <w:p w14:paraId="0F85AC75" w14:textId="63E0D886" w:rsidR="32F30848" w:rsidRDefault="32F30848" w:rsidP="32F30848">
            <w:pPr>
              <w:jc w:val="center"/>
              <w:rPr>
                <w:b/>
                <w:bCs/>
                <w:sz w:val="20"/>
                <w:szCs w:val="20"/>
                <w:lang w:val="fr-FR"/>
              </w:rPr>
            </w:pPr>
            <w:r w:rsidRPr="32F30848">
              <w:rPr>
                <w:b/>
                <w:bCs/>
                <w:sz w:val="20"/>
                <w:szCs w:val="20"/>
                <w:lang w:val="fr-FR"/>
              </w:rPr>
              <w:t>TBC</w:t>
            </w:r>
          </w:p>
        </w:tc>
      </w:tr>
      <w:tr w:rsidR="00C65AE9" w:rsidRPr="00C65AE9" w14:paraId="050CAE67" w14:textId="77777777" w:rsidTr="32F30848">
        <w:trPr>
          <w:jc w:val="center"/>
        </w:trPr>
        <w:tc>
          <w:tcPr>
            <w:tcW w:w="3336" w:type="dxa"/>
            <w:shd w:val="clear" w:color="auto" w:fill="auto"/>
            <w:vAlign w:val="center"/>
          </w:tcPr>
          <w:p w14:paraId="30E222DE" w14:textId="77777777" w:rsidR="00C65AE9" w:rsidRPr="00C65AE9" w:rsidRDefault="32F30848" w:rsidP="32F30848">
            <w:pPr>
              <w:jc w:val="center"/>
              <w:rPr>
                <w:sz w:val="20"/>
                <w:szCs w:val="20"/>
                <w:lang w:val="fr-FR"/>
              </w:rPr>
            </w:pPr>
            <w:r w:rsidRPr="32F30848">
              <w:rPr>
                <w:sz w:val="20"/>
                <w:szCs w:val="20"/>
                <w:lang w:val="fr-FR"/>
              </w:rPr>
              <w:t xml:space="preserve">Lille </w:t>
            </w:r>
          </w:p>
        </w:tc>
        <w:tc>
          <w:tcPr>
            <w:tcW w:w="3610" w:type="dxa"/>
            <w:shd w:val="clear" w:color="auto" w:fill="auto"/>
            <w:vAlign w:val="center"/>
          </w:tcPr>
          <w:p w14:paraId="6E9FFD81" w14:textId="02AF22D0" w:rsidR="00C65AE9" w:rsidRPr="00C65AE9" w:rsidRDefault="32F30848" w:rsidP="32F30848">
            <w:pPr>
              <w:jc w:val="center"/>
              <w:rPr>
                <w:rStyle w:val="rwrr"/>
                <w:sz w:val="20"/>
                <w:szCs w:val="20"/>
              </w:rPr>
            </w:pPr>
            <w:r w:rsidRPr="32F30848">
              <w:rPr>
                <w:rStyle w:val="rwrr"/>
                <w:sz w:val="20"/>
                <w:szCs w:val="20"/>
              </w:rPr>
              <w:t xml:space="preserve">PI: Antony TURPIN </w:t>
            </w:r>
          </w:p>
          <w:p w14:paraId="176CA51F" w14:textId="21BD5E53" w:rsidR="00C65AE9" w:rsidRPr="00C65AE9" w:rsidRDefault="00C65AE9" w:rsidP="32F30848">
            <w:pPr>
              <w:jc w:val="center"/>
              <w:rPr>
                <w:rStyle w:val="rwrr"/>
                <w:sz w:val="20"/>
                <w:szCs w:val="20"/>
              </w:rPr>
            </w:pPr>
          </w:p>
        </w:tc>
        <w:tc>
          <w:tcPr>
            <w:tcW w:w="2342" w:type="dxa"/>
          </w:tcPr>
          <w:p w14:paraId="4F0FF403" w14:textId="6FAE6E94" w:rsidR="00C65AE9" w:rsidRPr="005276E1" w:rsidRDefault="32F30848" w:rsidP="32F30848">
            <w:pPr>
              <w:jc w:val="center"/>
              <w:rPr>
                <w:b/>
                <w:bCs/>
                <w:sz w:val="20"/>
                <w:szCs w:val="20"/>
                <w:lang w:val="fr-FR"/>
              </w:rPr>
            </w:pPr>
            <w:r w:rsidRPr="32F30848">
              <w:rPr>
                <w:b/>
                <w:bCs/>
                <w:sz w:val="20"/>
                <w:szCs w:val="20"/>
                <w:lang w:val="fr-FR"/>
              </w:rPr>
              <w:t>TBC</w:t>
            </w:r>
          </w:p>
        </w:tc>
      </w:tr>
      <w:tr w:rsidR="00C65AE9" w:rsidRPr="00C65AE9" w14:paraId="2ACC8B2E" w14:textId="77777777" w:rsidTr="32F30848">
        <w:trPr>
          <w:jc w:val="center"/>
        </w:trPr>
        <w:tc>
          <w:tcPr>
            <w:tcW w:w="3336" w:type="dxa"/>
            <w:shd w:val="clear" w:color="auto" w:fill="auto"/>
            <w:vAlign w:val="center"/>
          </w:tcPr>
          <w:p w14:paraId="27897164" w14:textId="2D75FD51" w:rsidR="00C65AE9" w:rsidRPr="00C65AE9" w:rsidRDefault="32F30848" w:rsidP="32F30848">
            <w:pPr>
              <w:jc w:val="center"/>
              <w:rPr>
                <w:sz w:val="20"/>
                <w:szCs w:val="20"/>
                <w:lang w:val="fr-FR"/>
              </w:rPr>
            </w:pPr>
            <w:r w:rsidRPr="32F30848">
              <w:rPr>
                <w:sz w:val="20"/>
                <w:szCs w:val="20"/>
                <w:lang w:val="fr-FR"/>
              </w:rPr>
              <w:t>Rouen – Centre Henri Becquerel</w:t>
            </w:r>
          </w:p>
        </w:tc>
        <w:tc>
          <w:tcPr>
            <w:tcW w:w="3610" w:type="dxa"/>
            <w:shd w:val="clear" w:color="auto" w:fill="auto"/>
            <w:vAlign w:val="center"/>
          </w:tcPr>
          <w:p w14:paraId="0D0B940D" w14:textId="1A6B1269" w:rsidR="00C65AE9" w:rsidRPr="00C65AE9" w:rsidRDefault="32F30848" w:rsidP="32F30848">
            <w:pPr>
              <w:jc w:val="center"/>
              <w:rPr>
                <w:rStyle w:val="rwrr"/>
                <w:sz w:val="20"/>
                <w:szCs w:val="20"/>
              </w:rPr>
            </w:pPr>
            <w:r w:rsidRPr="32F30848">
              <w:rPr>
                <w:rStyle w:val="rwrr"/>
                <w:sz w:val="20"/>
                <w:szCs w:val="20"/>
              </w:rPr>
              <w:t>TBD</w:t>
            </w:r>
          </w:p>
        </w:tc>
        <w:tc>
          <w:tcPr>
            <w:tcW w:w="2342" w:type="dxa"/>
          </w:tcPr>
          <w:p w14:paraId="2E122756" w14:textId="435C67E2" w:rsidR="00C65AE9" w:rsidRPr="005276E1" w:rsidRDefault="32F30848" w:rsidP="32F30848">
            <w:pPr>
              <w:jc w:val="center"/>
              <w:rPr>
                <w:b/>
                <w:bCs/>
                <w:sz w:val="20"/>
                <w:szCs w:val="20"/>
                <w:lang w:val="fr-FR"/>
              </w:rPr>
            </w:pPr>
            <w:r w:rsidRPr="32F30848">
              <w:rPr>
                <w:b/>
                <w:bCs/>
                <w:sz w:val="20"/>
                <w:szCs w:val="20"/>
                <w:lang w:val="fr-FR"/>
              </w:rPr>
              <w:t>TBC</w:t>
            </w:r>
          </w:p>
        </w:tc>
      </w:tr>
      <w:tr w:rsidR="00C65AE9" w:rsidRPr="00C65AE9" w14:paraId="282DE0ED" w14:textId="77777777" w:rsidTr="32F30848">
        <w:trPr>
          <w:jc w:val="center"/>
        </w:trPr>
        <w:tc>
          <w:tcPr>
            <w:tcW w:w="3336" w:type="dxa"/>
            <w:shd w:val="clear" w:color="auto" w:fill="auto"/>
            <w:vAlign w:val="center"/>
          </w:tcPr>
          <w:p w14:paraId="47658BDC" w14:textId="77777777" w:rsidR="00C65AE9" w:rsidRPr="00C65AE9" w:rsidRDefault="32F30848" w:rsidP="32F30848">
            <w:pPr>
              <w:jc w:val="center"/>
              <w:rPr>
                <w:sz w:val="20"/>
                <w:szCs w:val="20"/>
                <w:lang w:val="fr-FR"/>
              </w:rPr>
            </w:pPr>
            <w:r w:rsidRPr="32F30848">
              <w:rPr>
                <w:sz w:val="20"/>
                <w:szCs w:val="20"/>
                <w:lang w:val="fr-FR"/>
              </w:rPr>
              <w:t xml:space="preserve">Renne </w:t>
            </w:r>
          </w:p>
        </w:tc>
        <w:tc>
          <w:tcPr>
            <w:tcW w:w="3610" w:type="dxa"/>
            <w:shd w:val="clear" w:color="auto" w:fill="auto"/>
            <w:vAlign w:val="center"/>
          </w:tcPr>
          <w:p w14:paraId="453A18F9" w14:textId="12FD699F" w:rsidR="00C65AE9" w:rsidRPr="00C65AE9" w:rsidRDefault="32F30848" w:rsidP="32F30848">
            <w:pPr>
              <w:autoSpaceDE w:val="0"/>
              <w:autoSpaceDN w:val="0"/>
              <w:adjustRightInd w:val="0"/>
              <w:jc w:val="center"/>
              <w:rPr>
                <w:sz w:val="20"/>
                <w:szCs w:val="20"/>
                <w:lang w:val="fr-FR"/>
              </w:rPr>
            </w:pPr>
            <w:r w:rsidRPr="32F30848">
              <w:rPr>
                <w:sz w:val="20"/>
                <w:szCs w:val="20"/>
                <w:lang w:val="fr-FR"/>
              </w:rPr>
              <w:t>PI: Julien EDELINE</w:t>
            </w:r>
          </w:p>
          <w:p w14:paraId="17009979" w14:textId="433585EA" w:rsidR="00C65AE9" w:rsidRPr="00C65AE9" w:rsidRDefault="32F30848" w:rsidP="32F30848">
            <w:pPr>
              <w:autoSpaceDE w:val="0"/>
              <w:autoSpaceDN w:val="0"/>
              <w:adjustRightInd w:val="0"/>
              <w:jc w:val="center"/>
              <w:rPr>
                <w:sz w:val="20"/>
                <w:szCs w:val="20"/>
                <w:lang w:val="fr-FR"/>
              </w:rPr>
            </w:pPr>
            <w:r w:rsidRPr="32F30848">
              <w:rPr>
                <w:sz w:val="20"/>
                <w:szCs w:val="20"/>
                <w:lang w:val="fr-FR"/>
              </w:rPr>
              <w:t>Département d’Oncologie Médicale, Centre Eugène Marquis</w:t>
            </w:r>
          </w:p>
          <w:p w14:paraId="1ED65012" w14:textId="4108EF48" w:rsidR="00C65AE9" w:rsidRPr="00C65AE9" w:rsidRDefault="32F30848" w:rsidP="32F30848">
            <w:pPr>
              <w:autoSpaceDE w:val="0"/>
              <w:autoSpaceDN w:val="0"/>
              <w:adjustRightInd w:val="0"/>
              <w:jc w:val="center"/>
              <w:rPr>
                <w:sz w:val="20"/>
                <w:szCs w:val="20"/>
                <w:lang w:val="fr-FR"/>
              </w:rPr>
            </w:pPr>
            <w:r w:rsidRPr="32F30848">
              <w:rPr>
                <w:sz w:val="20"/>
                <w:szCs w:val="20"/>
                <w:lang w:val="fr-FR"/>
              </w:rPr>
              <w:t xml:space="preserve"> MCU-PH</w:t>
            </w:r>
          </w:p>
          <w:p w14:paraId="3BF14710" w14:textId="77777777" w:rsidR="00C65AE9" w:rsidRPr="00C65AE9" w:rsidRDefault="32F30848" w:rsidP="32F30848">
            <w:pPr>
              <w:autoSpaceDE w:val="0"/>
              <w:autoSpaceDN w:val="0"/>
              <w:adjustRightInd w:val="0"/>
              <w:jc w:val="center"/>
              <w:rPr>
                <w:sz w:val="20"/>
                <w:szCs w:val="20"/>
                <w:u w:val="single"/>
                <w:lang w:val="fr-FR"/>
              </w:rPr>
            </w:pPr>
            <w:r w:rsidRPr="32F30848">
              <w:rPr>
                <w:sz w:val="20"/>
                <w:szCs w:val="20"/>
                <w:lang w:val="fr-FR"/>
              </w:rPr>
              <w:lastRenderedPageBreak/>
              <w:t xml:space="preserve">E. mail : </w:t>
            </w:r>
            <w:r w:rsidRPr="32F30848">
              <w:rPr>
                <w:sz w:val="20"/>
                <w:szCs w:val="20"/>
                <w:u w:val="single"/>
                <w:lang w:val="fr-FR"/>
              </w:rPr>
              <w:t>j.edeline@rennes.unicancer.fr</w:t>
            </w:r>
          </w:p>
          <w:p w14:paraId="7A7096C0" w14:textId="77777777" w:rsidR="00C65AE9" w:rsidRPr="005804CB" w:rsidRDefault="32F30848" w:rsidP="32F30848">
            <w:pPr>
              <w:jc w:val="center"/>
              <w:rPr>
                <w:rStyle w:val="rwrr"/>
                <w:sz w:val="20"/>
                <w:szCs w:val="20"/>
                <w:lang w:val="fr-FR"/>
              </w:rPr>
            </w:pPr>
            <w:r w:rsidRPr="32F30848">
              <w:rPr>
                <w:sz w:val="20"/>
                <w:szCs w:val="20"/>
                <w:lang w:val="fr-FR"/>
              </w:rPr>
              <w:t>Tél (fixe et mobile) : 0299253196 ; 0663717089</w:t>
            </w:r>
          </w:p>
        </w:tc>
        <w:tc>
          <w:tcPr>
            <w:tcW w:w="2342" w:type="dxa"/>
          </w:tcPr>
          <w:p w14:paraId="61C9530A" w14:textId="1554F318" w:rsidR="00C65AE9" w:rsidRPr="005276E1" w:rsidRDefault="32F30848" w:rsidP="32F30848">
            <w:pPr>
              <w:autoSpaceDE w:val="0"/>
              <w:autoSpaceDN w:val="0"/>
              <w:adjustRightInd w:val="0"/>
              <w:jc w:val="center"/>
              <w:rPr>
                <w:b/>
                <w:bCs/>
                <w:sz w:val="20"/>
                <w:szCs w:val="20"/>
                <w:lang w:val="fr-FR"/>
              </w:rPr>
            </w:pPr>
            <w:r w:rsidRPr="32F30848">
              <w:rPr>
                <w:b/>
                <w:bCs/>
                <w:sz w:val="20"/>
                <w:szCs w:val="20"/>
                <w:lang w:val="fr-FR"/>
              </w:rPr>
              <w:lastRenderedPageBreak/>
              <w:t>TBC</w:t>
            </w:r>
          </w:p>
        </w:tc>
      </w:tr>
      <w:tr w:rsidR="507FCA8A" w14:paraId="065FEC0B" w14:textId="77777777" w:rsidTr="32F30848">
        <w:trPr>
          <w:jc w:val="center"/>
        </w:trPr>
        <w:tc>
          <w:tcPr>
            <w:tcW w:w="3291" w:type="dxa"/>
            <w:shd w:val="clear" w:color="auto" w:fill="auto"/>
            <w:vAlign w:val="center"/>
          </w:tcPr>
          <w:p w14:paraId="2B488288" w14:textId="282DF151" w:rsidR="507FCA8A" w:rsidRDefault="32F30848" w:rsidP="32F30848">
            <w:pPr>
              <w:jc w:val="center"/>
              <w:rPr>
                <w:sz w:val="20"/>
                <w:szCs w:val="20"/>
                <w:lang w:val="fr"/>
              </w:rPr>
            </w:pPr>
            <w:r w:rsidRPr="32F30848">
              <w:rPr>
                <w:sz w:val="20"/>
                <w:szCs w:val="20"/>
                <w:lang w:val="fr"/>
              </w:rPr>
              <w:lastRenderedPageBreak/>
              <w:t xml:space="preserve">Paris APHP Cochin </w:t>
            </w:r>
          </w:p>
          <w:p w14:paraId="06F46051" w14:textId="08F26B15" w:rsidR="507FCA8A" w:rsidRDefault="507FCA8A" w:rsidP="32F30848">
            <w:pPr>
              <w:jc w:val="center"/>
              <w:rPr>
                <w:sz w:val="20"/>
                <w:szCs w:val="20"/>
                <w:lang w:val="fr-FR"/>
              </w:rPr>
            </w:pPr>
          </w:p>
        </w:tc>
        <w:tc>
          <w:tcPr>
            <w:tcW w:w="3697" w:type="dxa"/>
            <w:shd w:val="clear" w:color="auto" w:fill="auto"/>
            <w:vAlign w:val="center"/>
          </w:tcPr>
          <w:p w14:paraId="7A116324" w14:textId="130643EF" w:rsidR="507FCA8A" w:rsidRDefault="32F30848" w:rsidP="32F30848">
            <w:pPr>
              <w:jc w:val="center"/>
              <w:rPr>
                <w:sz w:val="20"/>
                <w:szCs w:val="20"/>
                <w:lang w:val="fr-FR"/>
              </w:rPr>
            </w:pPr>
            <w:r w:rsidRPr="32F30848">
              <w:rPr>
                <w:sz w:val="20"/>
                <w:szCs w:val="20"/>
                <w:lang w:val="fr-FR"/>
              </w:rPr>
              <w:t>TBD</w:t>
            </w:r>
          </w:p>
        </w:tc>
        <w:tc>
          <w:tcPr>
            <w:tcW w:w="2300" w:type="dxa"/>
          </w:tcPr>
          <w:p w14:paraId="76FF464E" w14:textId="21893EEA" w:rsidR="507FCA8A" w:rsidRDefault="32F30848" w:rsidP="32F30848">
            <w:pPr>
              <w:jc w:val="center"/>
              <w:rPr>
                <w:b/>
                <w:bCs/>
                <w:sz w:val="20"/>
                <w:szCs w:val="20"/>
                <w:lang w:val="fr-FR"/>
              </w:rPr>
            </w:pPr>
            <w:r w:rsidRPr="32F30848">
              <w:rPr>
                <w:b/>
                <w:bCs/>
                <w:sz w:val="20"/>
                <w:szCs w:val="20"/>
                <w:lang w:val="fr-FR"/>
              </w:rPr>
              <w:t>TBC</w:t>
            </w:r>
          </w:p>
        </w:tc>
      </w:tr>
      <w:tr w:rsidR="507FCA8A" w14:paraId="0B916535" w14:textId="77777777" w:rsidTr="32F30848">
        <w:trPr>
          <w:jc w:val="center"/>
        </w:trPr>
        <w:tc>
          <w:tcPr>
            <w:tcW w:w="3291" w:type="dxa"/>
            <w:shd w:val="clear" w:color="auto" w:fill="auto"/>
            <w:vAlign w:val="center"/>
          </w:tcPr>
          <w:p w14:paraId="1D296021" w14:textId="539AA3F5" w:rsidR="507FCA8A" w:rsidRDefault="32F30848" w:rsidP="32F30848">
            <w:pPr>
              <w:jc w:val="center"/>
              <w:rPr>
                <w:sz w:val="20"/>
                <w:szCs w:val="20"/>
                <w:lang w:val="fr"/>
              </w:rPr>
            </w:pPr>
            <w:r w:rsidRPr="32F30848">
              <w:rPr>
                <w:sz w:val="20"/>
                <w:szCs w:val="20"/>
                <w:lang w:val="fr"/>
              </w:rPr>
              <w:t>Paris APHP Bichat</w:t>
            </w:r>
          </w:p>
        </w:tc>
        <w:tc>
          <w:tcPr>
            <w:tcW w:w="3697" w:type="dxa"/>
            <w:shd w:val="clear" w:color="auto" w:fill="auto"/>
            <w:vAlign w:val="center"/>
          </w:tcPr>
          <w:p w14:paraId="5CB829E1" w14:textId="2D73C936" w:rsidR="507FCA8A" w:rsidRDefault="32F30848" w:rsidP="32F30848">
            <w:pPr>
              <w:jc w:val="center"/>
              <w:rPr>
                <w:sz w:val="20"/>
                <w:szCs w:val="20"/>
                <w:lang w:val="fr"/>
              </w:rPr>
            </w:pPr>
            <w:r w:rsidRPr="32F30848">
              <w:rPr>
                <w:sz w:val="20"/>
                <w:szCs w:val="20"/>
                <w:lang w:val="fr"/>
              </w:rPr>
              <w:t>PI: Valérie GOUNANT</w:t>
            </w:r>
          </w:p>
          <w:p w14:paraId="0FE86E5D" w14:textId="63FC3634" w:rsidR="507FCA8A" w:rsidRDefault="32F30848" w:rsidP="32F30848">
            <w:pPr>
              <w:jc w:val="center"/>
              <w:rPr>
                <w:sz w:val="20"/>
                <w:szCs w:val="20"/>
                <w:lang w:val="fr"/>
              </w:rPr>
            </w:pPr>
            <w:r w:rsidRPr="32F30848">
              <w:rPr>
                <w:sz w:val="20"/>
                <w:szCs w:val="20"/>
                <w:u w:val="single"/>
                <w:lang w:val="fr"/>
              </w:rPr>
              <w:t>valerie.gounant@aphp.fr</w:t>
            </w:r>
            <w:r w:rsidRPr="32F30848">
              <w:rPr>
                <w:sz w:val="20"/>
                <w:szCs w:val="20"/>
                <w:lang w:val="fr"/>
              </w:rPr>
              <w:t xml:space="preserve"> </w:t>
            </w:r>
          </w:p>
          <w:p w14:paraId="45FAB697" w14:textId="40FECFC4" w:rsidR="507FCA8A" w:rsidRDefault="32F30848" w:rsidP="32F30848">
            <w:pPr>
              <w:jc w:val="center"/>
              <w:rPr>
                <w:sz w:val="20"/>
                <w:szCs w:val="20"/>
                <w:lang w:val="fr"/>
              </w:rPr>
            </w:pPr>
            <w:r w:rsidRPr="32F30848">
              <w:rPr>
                <w:sz w:val="20"/>
                <w:szCs w:val="20"/>
                <w:lang w:val="fr"/>
              </w:rPr>
              <w:t xml:space="preserve">PI: </w:t>
            </w:r>
            <w:proofErr w:type="spellStart"/>
            <w:r w:rsidRPr="32F30848">
              <w:rPr>
                <w:sz w:val="20"/>
                <w:szCs w:val="20"/>
                <w:lang w:val="fr"/>
              </w:rPr>
              <w:t>Solenn</w:t>
            </w:r>
            <w:proofErr w:type="spellEnd"/>
            <w:r w:rsidRPr="32F30848">
              <w:rPr>
                <w:sz w:val="20"/>
                <w:szCs w:val="20"/>
                <w:lang w:val="fr"/>
              </w:rPr>
              <w:t xml:space="preserve"> BROSSEAU </w:t>
            </w:r>
          </w:p>
          <w:p w14:paraId="4F9BE4AD" w14:textId="2A45F5DD" w:rsidR="507FCA8A" w:rsidRDefault="32F30848" w:rsidP="32F30848">
            <w:pPr>
              <w:jc w:val="center"/>
              <w:rPr>
                <w:sz w:val="20"/>
                <w:szCs w:val="20"/>
                <w:lang w:val="fr"/>
              </w:rPr>
            </w:pPr>
            <w:r w:rsidRPr="32F30848">
              <w:rPr>
                <w:sz w:val="20"/>
                <w:szCs w:val="20"/>
                <w:u w:val="single"/>
                <w:lang w:val="fr"/>
              </w:rPr>
              <w:t>solenn.brosseau@aphp.fr</w:t>
            </w:r>
            <w:r w:rsidRPr="32F30848">
              <w:rPr>
                <w:sz w:val="20"/>
                <w:szCs w:val="20"/>
                <w:lang w:val="fr"/>
              </w:rPr>
              <w:t xml:space="preserve"> </w:t>
            </w:r>
          </w:p>
        </w:tc>
        <w:tc>
          <w:tcPr>
            <w:tcW w:w="2300" w:type="dxa"/>
          </w:tcPr>
          <w:p w14:paraId="28ADDC25" w14:textId="6DD033C8" w:rsidR="507FCA8A" w:rsidRDefault="32F30848" w:rsidP="32F30848">
            <w:pPr>
              <w:jc w:val="center"/>
              <w:rPr>
                <w:b/>
                <w:bCs/>
                <w:sz w:val="20"/>
                <w:szCs w:val="20"/>
                <w:lang w:val="fr-FR"/>
              </w:rPr>
            </w:pPr>
            <w:r w:rsidRPr="32F30848">
              <w:rPr>
                <w:b/>
                <w:bCs/>
                <w:sz w:val="20"/>
                <w:szCs w:val="20"/>
                <w:lang w:val="fr-FR"/>
              </w:rPr>
              <w:t>TBC</w:t>
            </w:r>
          </w:p>
        </w:tc>
      </w:tr>
      <w:tr w:rsidR="16EBD350" w14:paraId="1B0A8A69" w14:textId="77777777" w:rsidTr="32F30848">
        <w:trPr>
          <w:jc w:val="center"/>
        </w:trPr>
        <w:tc>
          <w:tcPr>
            <w:tcW w:w="3291" w:type="dxa"/>
            <w:shd w:val="clear" w:color="auto" w:fill="auto"/>
            <w:vAlign w:val="center"/>
          </w:tcPr>
          <w:p w14:paraId="55E72C07" w14:textId="5777E65D" w:rsidR="16EBD350" w:rsidRDefault="32F30848" w:rsidP="32F30848">
            <w:pPr>
              <w:jc w:val="center"/>
              <w:rPr>
                <w:sz w:val="20"/>
                <w:szCs w:val="20"/>
                <w:lang w:val="fr"/>
              </w:rPr>
            </w:pPr>
            <w:r w:rsidRPr="32F30848">
              <w:rPr>
                <w:sz w:val="20"/>
                <w:szCs w:val="20"/>
                <w:lang w:val="fr"/>
              </w:rPr>
              <w:t>Paris APHP Saint Antoine</w:t>
            </w:r>
          </w:p>
        </w:tc>
        <w:tc>
          <w:tcPr>
            <w:tcW w:w="3697" w:type="dxa"/>
            <w:shd w:val="clear" w:color="auto" w:fill="auto"/>
            <w:vAlign w:val="center"/>
          </w:tcPr>
          <w:p w14:paraId="6F1385DB" w14:textId="3138F0AE" w:rsidR="16EBD350" w:rsidRDefault="32F30848" w:rsidP="32F30848">
            <w:pPr>
              <w:jc w:val="center"/>
              <w:rPr>
                <w:sz w:val="20"/>
                <w:szCs w:val="20"/>
                <w:lang w:val="fr"/>
              </w:rPr>
            </w:pPr>
            <w:r w:rsidRPr="32F30848">
              <w:rPr>
                <w:sz w:val="20"/>
                <w:szCs w:val="20"/>
                <w:lang w:val="fr"/>
              </w:rPr>
              <w:t xml:space="preserve">PI: Arsène MEKINIAN </w:t>
            </w:r>
          </w:p>
          <w:p w14:paraId="148BA20A" w14:textId="732BFF43" w:rsidR="16EBD350" w:rsidRDefault="32F30848" w:rsidP="32F30848">
            <w:pPr>
              <w:jc w:val="center"/>
              <w:rPr>
                <w:sz w:val="20"/>
                <w:szCs w:val="20"/>
                <w:u w:val="single"/>
              </w:rPr>
            </w:pPr>
            <w:r w:rsidRPr="32F30848">
              <w:rPr>
                <w:sz w:val="20"/>
                <w:szCs w:val="20"/>
                <w:u w:val="single"/>
                <w:lang w:val="fr"/>
              </w:rPr>
              <w:t>arsene.mekinian@aphp.fr</w:t>
            </w:r>
          </w:p>
          <w:p w14:paraId="14EF0E80" w14:textId="65228A49" w:rsidR="16EBD350" w:rsidRDefault="32F30848" w:rsidP="32F30848">
            <w:pPr>
              <w:jc w:val="center"/>
              <w:rPr>
                <w:sz w:val="20"/>
                <w:szCs w:val="20"/>
                <w:lang w:val="fr"/>
              </w:rPr>
            </w:pPr>
            <w:proofErr w:type="spellStart"/>
            <w:r w:rsidRPr="32F30848">
              <w:rPr>
                <w:sz w:val="20"/>
                <w:szCs w:val="20"/>
                <w:lang w:val="fr"/>
              </w:rPr>
              <w:t>Sub-Inv</w:t>
            </w:r>
            <w:proofErr w:type="spellEnd"/>
            <w:r w:rsidRPr="32F30848">
              <w:rPr>
                <w:sz w:val="20"/>
                <w:szCs w:val="20"/>
                <w:lang w:val="fr"/>
              </w:rPr>
              <w:t xml:space="preserve">: Olivier FAIN </w:t>
            </w:r>
          </w:p>
          <w:p w14:paraId="34CF6057" w14:textId="4A8E5464" w:rsidR="16EBD350" w:rsidRDefault="32F30848" w:rsidP="32F30848">
            <w:pPr>
              <w:jc w:val="center"/>
              <w:rPr>
                <w:sz w:val="20"/>
                <w:szCs w:val="20"/>
                <w:lang w:val="fr"/>
              </w:rPr>
            </w:pPr>
            <w:r w:rsidRPr="32F30848">
              <w:rPr>
                <w:sz w:val="20"/>
                <w:szCs w:val="20"/>
                <w:u w:val="single"/>
                <w:lang w:val="fr"/>
              </w:rPr>
              <w:t xml:space="preserve">olivier.fain@aphp.fr </w:t>
            </w:r>
          </w:p>
        </w:tc>
        <w:tc>
          <w:tcPr>
            <w:tcW w:w="2300" w:type="dxa"/>
          </w:tcPr>
          <w:p w14:paraId="5643FECF" w14:textId="10C2D809" w:rsidR="16EBD350" w:rsidRDefault="32F30848" w:rsidP="32F30848">
            <w:pPr>
              <w:jc w:val="center"/>
              <w:rPr>
                <w:b/>
                <w:bCs/>
                <w:sz w:val="20"/>
                <w:szCs w:val="20"/>
                <w:lang w:val="fr-FR"/>
              </w:rPr>
            </w:pPr>
            <w:r w:rsidRPr="32F30848">
              <w:rPr>
                <w:b/>
                <w:bCs/>
                <w:sz w:val="20"/>
                <w:szCs w:val="20"/>
                <w:lang w:val="fr-FR"/>
              </w:rPr>
              <w:t>TBC</w:t>
            </w:r>
          </w:p>
        </w:tc>
      </w:tr>
    </w:tbl>
    <w:p w14:paraId="216A5E4E" w14:textId="5209C0C8" w:rsidR="507FCA8A" w:rsidRDefault="507FCA8A"/>
    <w:p w14:paraId="5CD03787" w14:textId="0120248D" w:rsidR="496F62E8" w:rsidRDefault="496F62E8"/>
    <w:p w14:paraId="0E27B00A" w14:textId="77777777" w:rsidR="00EE3177" w:rsidRDefault="00EE3177" w:rsidP="00C05FAB">
      <w:pPr>
        <w:rPr>
          <w:lang w:val="fr-FR"/>
        </w:rPr>
      </w:pPr>
    </w:p>
    <w:p w14:paraId="1EF9577E" w14:textId="77777777" w:rsidR="00540B75" w:rsidRDefault="002301D8" w:rsidP="00C05FAB">
      <w:pPr>
        <w:rPr>
          <w:lang w:val="fr-FR"/>
        </w:rPr>
      </w:pPr>
      <w:r>
        <w:rPr>
          <w:lang w:val="fr-FR"/>
        </w:rPr>
        <w:t>*</w:t>
      </w:r>
      <w:r w:rsidR="00895781">
        <w:rPr>
          <w:lang w:val="fr-FR"/>
        </w:rPr>
        <w:t>Etude o</w:t>
      </w:r>
      <w:r w:rsidR="00540B75">
        <w:rPr>
          <w:lang w:val="fr-FR"/>
        </w:rPr>
        <w:t>uvert</w:t>
      </w:r>
      <w:r w:rsidR="00895781">
        <w:rPr>
          <w:lang w:val="fr-FR"/>
        </w:rPr>
        <w:t>e</w:t>
      </w:r>
      <w:r w:rsidR="00540B75">
        <w:rPr>
          <w:lang w:val="fr-FR"/>
        </w:rPr>
        <w:t xml:space="preserve"> à tous centre</w:t>
      </w:r>
      <w:r w:rsidR="00A43164">
        <w:rPr>
          <w:lang w:val="fr-FR"/>
        </w:rPr>
        <w:t>(s)</w:t>
      </w:r>
      <w:r w:rsidR="00540B75">
        <w:rPr>
          <w:lang w:val="fr-FR"/>
        </w:rPr>
        <w:t xml:space="preserve"> intéressé</w:t>
      </w:r>
      <w:r w:rsidR="00A43164">
        <w:rPr>
          <w:lang w:val="fr-FR"/>
        </w:rPr>
        <w:t>(s)</w:t>
      </w:r>
      <w:r w:rsidR="00540B75">
        <w:rPr>
          <w:lang w:val="fr-FR"/>
        </w:rPr>
        <w:t xml:space="preserve"> par le projet </w:t>
      </w:r>
      <w:r w:rsidR="00A43164">
        <w:rPr>
          <w:lang w:val="fr-FR"/>
        </w:rPr>
        <w:t>sur le territoire national</w:t>
      </w:r>
    </w:p>
    <w:p w14:paraId="60061E4C" w14:textId="77777777" w:rsidR="007A0FF6" w:rsidRPr="00D81EEF" w:rsidRDefault="007A0FF6" w:rsidP="002607DF">
      <w:pPr>
        <w:rPr>
          <w:b/>
          <w:color w:val="0000FF"/>
          <w:lang w:val="fr-FR"/>
        </w:rPr>
      </w:pPr>
    </w:p>
    <w:p w14:paraId="388B1A3D" w14:textId="77777777" w:rsidR="00897BC9" w:rsidRDefault="006358C2" w:rsidP="00897BC9">
      <w:pPr>
        <w:rPr>
          <w:lang w:val="fr-FR"/>
        </w:rPr>
      </w:pPr>
      <w:r>
        <w:rPr>
          <w:b/>
          <w:color w:val="0000FF"/>
          <w:lang w:val="fr-FR"/>
        </w:rPr>
        <w:t>Partenaire</w:t>
      </w:r>
      <w:r w:rsidR="00FC4708">
        <w:rPr>
          <w:b/>
          <w:color w:val="0000FF"/>
          <w:lang w:val="fr-FR"/>
        </w:rPr>
        <w:t>(s)</w:t>
      </w:r>
      <w:r w:rsidR="00897BC9">
        <w:rPr>
          <w:b/>
          <w:color w:val="0000FF"/>
          <w:lang w:val="fr-FR"/>
        </w:rPr>
        <w:t> </w:t>
      </w:r>
      <w:r w:rsidR="00C72AE3">
        <w:rPr>
          <w:b/>
          <w:color w:val="0000FF"/>
          <w:lang w:val="fr-FR"/>
        </w:rPr>
        <w:t xml:space="preserve">identifié </w:t>
      </w:r>
      <w:r w:rsidR="00897BC9">
        <w:rPr>
          <w:b/>
          <w:color w:val="0000FF"/>
          <w:lang w:val="fr-FR"/>
        </w:rPr>
        <w:t xml:space="preserve">: </w:t>
      </w:r>
      <w:r w:rsidR="00CB0BEB">
        <w:rPr>
          <w:lang w:val="fr-FR"/>
        </w:rPr>
        <w:sym w:font="Wingdings" w:char="F06E"/>
      </w:r>
      <w:r w:rsidR="00CB0BEB" w:rsidRPr="00A0407A">
        <w:rPr>
          <w:lang w:val="fr-FR"/>
        </w:rPr>
        <w:t xml:space="preserve">oui </w:t>
      </w:r>
      <w:r w:rsidR="00CB0BEB" w:rsidRPr="00A0407A">
        <w:rPr>
          <w:lang w:val="fr-FR"/>
        </w:rPr>
        <w:tab/>
      </w:r>
      <w:r w:rsidR="00CB0BEB" w:rsidRPr="00FE1055">
        <w:rPr>
          <w:lang w:val="fr-FR"/>
        </w:rPr>
        <w:sym w:font="Wingdings" w:char="F0A8"/>
      </w:r>
      <w:r w:rsidR="00CB0BEB" w:rsidRPr="00A0407A">
        <w:rPr>
          <w:lang w:val="fr-FR"/>
        </w:rPr>
        <w:t xml:space="preserve"> </w:t>
      </w:r>
      <w:r w:rsidR="00897BC9" w:rsidRPr="00A0407A">
        <w:rPr>
          <w:lang w:val="fr-FR"/>
        </w:rPr>
        <w:t>non</w:t>
      </w:r>
    </w:p>
    <w:p w14:paraId="1536A722" w14:textId="77777777" w:rsidR="006358C2" w:rsidRPr="00C72AE3" w:rsidRDefault="00C72AE3" w:rsidP="002607DF">
      <w:pPr>
        <w:rPr>
          <w:lang w:val="fr-FR"/>
        </w:rPr>
      </w:pPr>
      <w:r w:rsidRPr="00C72AE3">
        <w:rPr>
          <w:lang w:val="fr-FR"/>
        </w:rPr>
        <w:t xml:space="preserve">Si non, préciser quel partenaire pourrait être sollicité : </w:t>
      </w:r>
    </w:p>
    <w:p w14:paraId="5A0DBD06" w14:textId="77777777" w:rsidR="00626062" w:rsidRDefault="00897BC9" w:rsidP="002607DF">
      <w:pPr>
        <w:rPr>
          <w:lang w:val="fr-FR"/>
        </w:rPr>
      </w:pPr>
      <w:r w:rsidRPr="00C72AE3">
        <w:rPr>
          <w:lang w:val="fr-FR"/>
        </w:rPr>
        <w:t>Si oui, préciser :</w:t>
      </w:r>
    </w:p>
    <w:p w14:paraId="60E04059" w14:textId="77777777" w:rsidR="00897BC9" w:rsidRDefault="00CB0BEB" w:rsidP="00626062">
      <w:pPr>
        <w:numPr>
          <w:ilvl w:val="0"/>
          <w:numId w:val="16"/>
        </w:numPr>
        <w:rPr>
          <w:lang w:val="fr-FR"/>
        </w:rPr>
      </w:pPr>
      <w:r>
        <w:rPr>
          <w:lang w:val="fr-FR"/>
        </w:rPr>
        <w:t>SNFMI (Société National Française de Médecine Interne)</w:t>
      </w:r>
    </w:p>
    <w:p w14:paraId="11C51FF7" w14:textId="77777777" w:rsidR="00626062" w:rsidRDefault="00626062" w:rsidP="00626062">
      <w:pPr>
        <w:numPr>
          <w:ilvl w:val="0"/>
          <w:numId w:val="16"/>
        </w:numPr>
        <w:rPr>
          <w:lang w:val="fr-FR"/>
        </w:rPr>
      </w:pPr>
      <w:r>
        <w:rPr>
          <w:lang w:val="fr-FR"/>
        </w:rPr>
        <w:t>CRI (Club Rhumatismes et Inflammations)</w:t>
      </w:r>
    </w:p>
    <w:p w14:paraId="7F3F2F32" w14:textId="77777777" w:rsidR="00626062" w:rsidRDefault="00626062" w:rsidP="00626062">
      <w:pPr>
        <w:numPr>
          <w:ilvl w:val="0"/>
          <w:numId w:val="16"/>
        </w:numPr>
        <w:rPr>
          <w:lang w:val="fr-FR"/>
        </w:rPr>
      </w:pPr>
      <w:r>
        <w:rPr>
          <w:lang w:val="fr-FR"/>
        </w:rPr>
        <w:t>AERIO (Association d’Enseignement et de Recherche des Internes en Oncologie)</w:t>
      </w:r>
    </w:p>
    <w:p w14:paraId="6CC96DC2" w14:textId="77777777" w:rsidR="00626062" w:rsidRPr="00C72AE3" w:rsidRDefault="00626062" w:rsidP="00626062">
      <w:pPr>
        <w:numPr>
          <w:ilvl w:val="0"/>
          <w:numId w:val="16"/>
        </w:numPr>
        <w:rPr>
          <w:lang w:val="fr-FR"/>
        </w:rPr>
      </w:pPr>
      <w:r>
        <w:rPr>
          <w:lang w:val="fr-FR"/>
        </w:rPr>
        <w:t>AJI (Amicale des Jeunes Internistes)</w:t>
      </w:r>
    </w:p>
    <w:p w14:paraId="44EAFD9C" w14:textId="77777777" w:rsidR="00DC42DB" w:rsidRDefault="00DC42DB" w:rsidP="006358C2">
      <w:pPr>
        <w:rPr>
          <w:lang w:val="fr-FR"/>
        </w:rPr>
      </w:pPr>
    </w:p>
    <w:p w14:paraId="6902F55F" w14:textId="77777777" w:rsidR="006358C2" w:rsidRDefault="006358C2" w:rsidP="006358C2">
      <w:pPr>
        <w:rPr>
          <w:lang w:val="fr-FR"/>
        </w:rPr>
      </w:pPr>
      <w:r>
        <w:rPr>
          <w:lang w:val="fr-FR"/>
        </w:rPr>
        <w:t>Industriel</w:t>
      </w:r>
      <w:r w:rsidR="00FC4708">
        <w:rPr>
          <w:lang w:val="fr-FR"/>
        </w:rPr>
        <w:t>(s)</w:t>
      </w:r>
      <w:r w:rsidRPr="00FE1055">
        <w:rPr>
          <w:lang w:val="fr-FR"/>
        </w:rPr>
        <w:t xml:space="preserve">: </w:t>
      </w:r>
      <w:r w:rsidRPr="00FE1055">
        <w:rPr>
          <w:lang w:val="fr-FR"/>
        </w:rPr>
        <w:sym w:font="Wingdings" w:char="F0A8"/>
      </w:r>
      <w:r w:rsidRPr="00A0407A">
        <w:rPr>
          <w:lang w:val="fr-FR"/>
        </w:rPr>
        <w:t xml:space="preserve"> oui  </w:t>
      </w:r>
      <w:r w:rsidRPr="00A0407A">
        <w:rPr>
          <w:lang w:val="fr-FR"/>
        </w:rPr>
        <w:tab/>
      </w:r>
      <w:r w:rsidR="006C21C9">
        <w:rPr>
          <w:lang w:val="fr-FR"/>
        </w:rPr>
        <w:sym w:font="Wingdings" w:char="F06E"/>
      </w:r>
      <w:r w:rsidRPr="00A0407A">
        <w:rPr>
          <w:lang w:val="fr-FR"/>
        </w:rPr>
        <w:t xml:space="preserve"> non</w:t>
      </w:r>
    </w:p>
    <w:p w14:paraId="2FAFB018" w14:textId="77777777" w:rsidR="006358C2" w:rsidRDefault="006358C2" w:rsidP="006358C2">
      <w:pPr>
        <w:rPr>
          <w:lang w:val="fr-FR"/>
        </w:rPr>
      </w:pPr>
      <w:r>
        <w:rPr>
          <w:lang w:val="fr-FR"/>
        </w:rPr>
        <w:t>Si oui, préciser</w:t>
      </w:r>
    </w:p>
    <w:p w14:paraId="4F11B7D5" w14:textId="77777777" w:rsidR="003B422D" w:rsidRPr="003A225D" w:rsidRDefault="003B422D" w:rsidP="003B422D">
      <w:pPr>
        <w:numPr>
          <w:ilvl w:val="0"/>
          <w:numId w:val="7"/>
        </w:numPr>
        <w:rPr>
          <w:b/>
          <w:lang w:val="fr-FR"/>
        </w:rPr>
      </w:pPr>
      <w:r w:rsidRPr="003A225D">
        <w:rPr>
          <w:lang w:val="fr-FR"/>
        </w:rPr>
        <w:t xml:space="preserve">Projet avec un partenaire privilégié du DITEP : </w:t>
      </w:r>
      <w:r w:rsidRPr="003A225D">
        <w:rPr>
          <w:lang w:val="fr-FR"/>
        </w:rPr>
        <w:sym w:font="Wingdings" w:char="F0A8"/>
      </w:r>
      <w:r w:rsidRPr="003A225D">
        <w:rPr>
          <w:lang w:val="fr-FR"/>
        </w:rPr>
        <w:t xml:space="preserve"> oui  </w:t>
      </w:r>
      <w:r w:rsidR="006C21C9" w:rsidRPr="003A225D">
        <w:rPr>
          <w:lang w:val="fr-FR"/>
        </w:rPr>
        <w:sym w:font="Wingdings" w:char="F06E"/>
      </w:r>
      <w:r w:rsidRPr="003A225D">
        <w:rPr>
          <w:lang w:val="fr-FR"/>
        </w:rPr>
        <w:t xml:space="preserve"> non</w:t>
      </w:r>
    </w:p>
    <w:p w14:paraId="7455D05E" w14:textId="77777777" w:rsidR="00402A95" w:rsidRPr="003A225D" w:rsidRDefault="00402A95" w:rsidP="005064CB">
      <w:pPr>
        <w:numPr>
          <w:ilvl w:val="0"/>
          <w:numId w:val="6"/>
        </w:numPr>
        <w:rPr>
          <w:lang w:val="fr-FR"/>
        </w:rPr>
      </w:pPr>
      <w:r w:rsidRPr="003A225D">
        <w:rPr>
          <w:lang w:val="fr-FR"/>
        </w:rPr>
        <w:t xml:space="preserve">Molécule (s) du partenaire </w:t>
      </w:r>
      <w:r w:rsidR="00D81EEF" w:rsidRPr="003A225D">
        <w:rPr>
          <w:lang w:val="fr-FR"/>
        </w:rPr>
        <w:t>nécessaire :</w:t>
      </w:r>
      <w:r w:rsidRPr="003A225D">
        <w:rPr>
          <w:lang w:val="fr-FR"/>
        </w:rPr>
        <w:t xml:space="preserve"> </w:t>
      </w:r>
      <w:r w:rsidRPr="003A225D">
        <w:rPr>
          <w:lang w:val="fr-FR"/>
        </w:rPr>
        <w:sym w:font="Wingdings" w:char="F0A8"/>
      </w:r>
      <w:r w:rsidRPr="003A225D">
        <w:rPr>
          <w:lang w:val="fr-FR"/>
        </w:rPr>
        <w:t xml:space="preserve"> oui  </w:t>
      </w:r>
      <w:r w:rsidR="006C21C9" w:rsidRPr="003A225D">
        <w:rPr>
          <w:lang w:val="fr-FR"/>
        </w:rPr>
        <w:sym w:font="Wingdings" w:char="F06E"/>
      </w:r>
      <w:r w:rsidRPr="003A225D">
        <w:rPr>
          <w:lang w:val="fr-FR"/>
        </w:rPr>
        <w:t xml:space="preserve"> non</w:t>
      </w:r>
    </w:p>
    <w:p w14:paraId="4B94D5A5" w14:textId="77777777" w:rsidR="006358C2" w:rsidRDefault="006358C2" w:rsidP="002607DF">
      <w:pPr>
        <w:rPr>
          <w:b/>
          <w:color w:val="0000FF"/>
          <w:lang w:val="fr-FR"/>
        </w:rPr>
      </w:pPr>
    </w:p>
    <w:p w14:paraId="5D10F582" w14:textId="77777777" w:rsidR="00C05FAB" w:rsidRDefault="006358C2" w:rsidP="006358C2">
      <w:pPr>
        <w:rPr>
          <w:lang w:val="fr-FR"/>
        </w:rPr>
      </w:pPr>
      <w:r>
        <w:rPr>
          <w:b/>
          <w:color w:val="0000FF"/>
          <w:lang w:val="fr-FR"/>
        </w:rPr>
        <w:t>Thématique</w:t>
      </w:r>
      <w:r w:rsidR="00D7262B">
        <w:rPr>
          <w:b/>
          <w:color w:val="0000FF"/>
          <w:lang w:val="fr-FR"/>
        </w:rPr>
        <w:t xml:space="preserve"> scientifique</w:t>
      </w:r>
      <w:r w:rsidRPr="00FE1055">
        <w:rPr>
          <w:lang w:val="fr-FR"/>
        </w:rPr>
        <w:t> :</w:t>
      </w:r>
    </w:p>
    <w:p w14:paraId="4AE59C3A" w14:textId="77777777" w:rsidR="006358C2" w:rsidRDefault="006358C2" w:rsidP="006358C2">
      <w:pPr>
        <w:rPr>
          <w:lang w:val="fr-FR"/>
        </w:rPr>
      </w:pPr>
      <w:r w:rsidRPr="00FE1055">
        <w:rPr>
          <w:lang w:val="fr-FR"/>
        </w:rPr>
        <w:sym w:font="Wingdings" w:char="F0A8"/>
      </w:r>
      <w:r w:rsidRPr="00FE1055">
        <w:rPr>
          <w:lang w:val="fr-FR"/>
        </w:rPr>
        <w:t xml:space="preserve"> Médecine de Précision, </w:t>
      </w:r>
      <w:r w:rsidR="006C21C9">
        <w:rPr>
          <w:lang w:val="fr-FR"/>
        </w:rPr>
        <w:sym w:font="Wingdings" w:char="F06E"/>
      </w:r>
      <w:r w:rsidRPr="00FE1055">
        <w:rPr>
          <w:lang w:val="fr-FR"/>
        </w:rPr>
        <w:t xml:space="preserve"> Immunothérapie, </w:t>
      </w:r>
      <w:r w:rsidRPr="00FE1055">
        <w:rPr>
          <w:lang w:val="fr-FR"/>
        </w:rPr>
        <w:sym w:font="Wingdings" w:char="F0A8"/>
      </w:r>
      <w:r w:rsidRPr="00FE1055">
        <w:rPr>
          <w:lang w:val="fr-FR"/>
        </w:rPr>
        <w:t xml:space="preserve"> Réparation ADN,</w:t>
      </w:r>
      <w:r w:rsidR="00D7262B">
        <w:rPr>
          <w:lang w:val="fr-FR"/>
        </w:rPr>
        <w:t xml:space="preserve"> </w:t>
      </w:r>
      <w:r w:rsidRPr="00FE1055">
        <w:rPr>
          <w:lang w:val="fr-FR"/>
        </w:rPr>
        <w:sym w:font="Wingdings" w:char="F0A8"/>
      </w:r>
      <w:r>
        <w:rPr>
          <w:lang w:val="fr-FR"/>
        </w:rPr>
        <w:t xml:space="preserve"> </w:t>
      </w:r>
      <w:proofErr w:type="spellStart"/>
      <w:r w:rsidRPr="00FE1055">
        <w:rPr>
          <w:lang w:val="fr-FR"/>
        </w:rPr>
        <w:t>Epigénétique</w:t>
      </w:r>
      <w:proofErr w:type="spellEnd"/>
      <w:r w:rsidRPr="00FE1055">
        <w:rPr>
          <w:lang w:val="fr-FR"/>
        </w:rPr>
        <w:t xml:space="preserve"> / Métabolisme, </w:t>
      </w:r>
      <w:r w:rsidR="00C35780">
        <w:rPr>
          <w:lang w:val="fr-FR"/>
        </w:rPr>
        <w:sym w:font="Wingdings" w:char="F06E"/>
      </w:r>
      <w:r w:rsidRPr="00FE1055">
        <w:rPr>
          <w:lang w:val="fr-FR"/>
        </w:rPr>
        <w:t>autre, préciser</w:t>
      </w:r>
      <w:r w:rsidR="00C35780">
        <w:rPr>
          <w:lang w:val="fr-FR"/>
        </w:rPr>
        <w:t xml:space="preserve"> : pharmacovigilance </w:t>
      </w:r>
    </w:p>
    <w:p w14:paraId="3DEEC669" w14:textId="77777777" w:rsidR="006358C2" w:rsidRDefault="006358C2" w:rsidP="006358C2">
      <w:pPr>
        <w:rPr>
          <w:b/>
          <w:color w:val="0000FF"/>
          <w:u w:val="single"/>
          <w:lang w:val="fr-FR"/>
        </w:rPr>
      </w:pPr>
    </w:p>
    <w:p w14:paraId="00C1AEBE" w14:textId="77777777" w:rsidR="00DC42DB" w:rsidRDefault="00DC42DB" w:rsidP="006358C2">
      <w:pPr>
        <w:rPr>
          <w:b/>
          <w:color w:val="0000FF"/>
          <w:lang w:val="fr-FR"/>
        </w:rPr>
      </w:pPr>
      <w:r>
        <w:rPr>
          <w:b/>
          <w:color w:val="0000FF"/>
          <w:lang w:val="fr-FR"/>
        </w:rPr>
        <w:t xml:space="preserve">Type de projet Recherche </w:t>
      </w:r>
      <w:proofErr w:type="spellStart"/>
      <w:r>
        <w:rPr>
          <w:b/>
          <w:color w:val="0000FF"/>
          <w:lang w:val="fr-FR"/>
        </w:rPr>
        <w:t>Translationnelle</w:t>
      </w:r>
      <w:proofErr w:type="spellEnd"/>
      <w:r w:rsidR="00D25140">
        <w:rPr>
          <w:b/>
          <w:color w:val="0000FF"/>
          <w:lang w:val="fr-FR"/>
        </w:rPr>
        <w:t>/Préclinique</w:t>
      </w:r>
      <w:r w:rsidR="00566012">
        <w:rPr>
          <w:b/>
          <w:color w:val="0000FF"/>
          <w:lang w:val="fr-FR"/>
        </w:rPr>
        <w:t>/Autre</w:t>
      </w:r>
    </w:p>
    <w:p w14:paraId="76661DD5" w14:textId="77777777" w:rsidR="00FC4708" w:rsidRDefault="00FC4708" w:rsidP="00FC4708">
      <w:pPr>
        <w:rPr>
          <w:lang w:val="fr-FR"/>
        </w:rPr>
      </w:pPr>
      <w:r w:rsidRPr="00FE1055">
        <w:rPr>
          <w:lang w:val="fr-FR"/>
        </w:rPr>
        <w:sym w:font="Wingdings" w:char="F0A8"/>
      </w:r>
      <w:r w:rsidRPr="00A0407A">
        <w:rPr>
          <w:lang w:val="fr-FR"/>
        </w:rPr>
        <w:t xml:space="preserve"> </w:t>
      </w:r>
      <w:r w:rsidR="00524906">
        <w:rPr>
          <w:lang w:val="fr-FR"/>
        </w:rPr>
        <w:t>Prestation</w:t>
      </w:r>
      <w:r w:rsidR="00524906" w:rsidRPr="00A0407A">
        <w:rPr>
          <w:lang w:val="fr-FR"/>
        </w:rPr>
        <w:t xml:space="preserve"> </w:t>
      </w:r>
      <w:r w:rsidR="00524906" w:rsidRPr="00A0407A">
        <w:rPr>
          <w:lang w:val="fr-FR"/>
        </w:rPr>
        <w:tab/>
      </w:r>
      <w:r w:rsidRPr="00FE1055">
        <w:rPr>
          <w:lang w:val="fr-FR"/>
        </w:rPr>
        <w:sym w:font="Wingdings" w:char="F0A8"/>
      </w:r>
      <w:r w:rsidRPr="00A0407A">
        <w:rPr>
          <w:lang w:val="fr-FR"/>
        </w:rPr>
        <w:t xml:space="preserve"> </w:t>
      </w:r>
      <w:r>
        <w:rPr>
          <w:lang w:val="fr-FR"/>
        </w:rPr>
        <w:t>Collaboration</w:t>
      </w:r>
    </w:p>
    <w:p w14:paraId="413EE84B" w14:textId="77777777" w:rsidR="00DC42DB" w:rsidRDefault="006C21C9" w:rsidP="006358C2">
      <w:pPr>
        <w:rPr>
          <w:lang w:val="fr-FR"/>
        </w:rPr>
      </w:pPr>
      <w:r>
        <w:rPr>
          <w:lang w:val="fr-FR"/>
        </w:rPr>
        <w:sym w:font="Wingdings" w:char="F06E"/>
      </w:r>
      <w:r w:rsidR="00DC42DB" w:rsidRPr="00FE1055">
        <w:rPr>
          <w:lang w:val="fr-FR"/>
        </w:rPr>
        <w:t xml:space="preserve"> </w:t>
      </w:r>
      <w:r w:rsidR="00DC42DB">
        <w:rPr>
          <w:lang w:val="fr-FR"/>
        </w:rPr>
        <w:t>Etude rétrospective</w:t>
      </w:r>
      <w:r w:rsidR="00DC42DB" w:rsidRPr="00FE1055">
        <w:rPr>
          <w:lang w:val="fr-FR"/>
        </w:rPr>
        <w:t xml:space="preserve">, </w:t>
      </w:r>
      <w:r w:rsidR="00515AC4">
        <w:rPr>
          <w:lang w:val="fr-FR"/>
        </w:rPr>
        <w:sym w:font="Wingdings" w:char="F06E"/>
      </w:r>
      <w:r w:rsidR="00DC42DB" w:rsidRPr="00FE1055">
        <w:rPr>
          <w:lang w:val="fr-FR"/>
        </w:rPr>
        <w:t xml:space="preserve"> </w:t>
      </w:r>
      <w:r w:rsidR="00DC42DB">
        <w:rPr>
          <w:lang w:val="fr-FR"/>
        </w:rPr>
        <w:t>Etude prospective</w:t>
      </w:r>
      <w:r w:rsidR="00DC42DB" w:rsidRPr="00FE1055">
        <w:rPr>
          <w:lang w:val="fr-FR"/>
        </w:rPr>
        <w:t xml:space="preserve">, </w:t>
      </w:r>
      <w:r w:rsidR="00EB4DFA" w:rsidRPr="00FE1055">
        <w:rPr>
          <w:lang w:val="fr-FR"/>
        </w:rPr>
        <w:sym w:font="Wingdings" w:char="F0A8"/>
      </w:r>
      <w:r w:rsidR="00EB4DFA" w:rsidRPr="00FE1055">
        <w:rPr>
          <w:lang w:val="fr-FR"/>
        </w:rPr>
        <w:t xml:space="preserve"> </w:t>
      </w:r>
      <w:r w:rsidR="00EB4DFA">
        <w:rPr>
          <w:lang w:val="fr-FR"/>
        </w:rPr>
        <w:t xml:space="preserve">Etude </w:t>
      </w:r>
      <w:proofErr w:type="spellStart"/>
      <w:r w:rsidR="00EB4DFA">
        <w:rPr>
          <w:lang w:val="fr-FR"/>
        </w:rPr>
        <w:t>translationnelle</w:t>
      </w:r>
      <w:proofErr w:type="spellEnd"/>
      <w:r w:rsidR="00EB4DFA" w:rsidRPr="00FE1055">
        <w:rPr>
          <w:lang w:val="fr-FR"/>
        </w:rPr>
        <w:t xml:space="preserve">, </w:t>
      </w:r>
      <w:r w:rsidR="00DC42DB" w:rsidRPr="00FE1055">
        <w:rPr>
          <w:lang w:val="fr-FR"/>
        </w:rPr>
        <w:sym w:font="Wingdings" w:char="F0A8"/>
      </w:r>
      <w:r w:rsidR="00DC42DB" w:rsidRPr="00FE1055">
        <w:rPr>
          <w:lang w:val="fr-FR"/>
        </w:rPr>
        <w:t xml:space="preserve"> </w:t>
      </w:r>
      <w:r w:rsidR="00DC42DB">
        <w:rPr>
          <w:lang w:val="fr-FR"/>
        </w:rPr>
        <w:t xml:space="preserve">Etude </w:t>
      </w:r>
      <w:proofErr w:type="spellStart"/>
      <w:r w:rsidR="00D7696A">
        <w:rPr>
          <w:lang w:val="fr-FR"/>
        </w:rPr>
        <w:t>translationnelle</w:t>
      </w:r>
      <w:proofErr w:type="spellEnd"/>
      <w:r w:rsidR="00DC42DB">
        <w:rPr>
          <w:lang w:val="fr-FR"/>
        </w:rPr>
        <w:t xml:space="preserve"> ancillaire à une étude clinique</w:t>
      </w:r>
      <w:r w:rsidR="00DC42DB" w:rsidRPr="00FE1055">
        <w:rPr>
          <w:lang w:val="fr-FR"/>
        </w:rPr>
        <w:t xml:space="preserve">, </w:t>
      </w:r>
      <w:r w:rsidR="00DC42DB" w:rsidRPr="00FE1055">
        <w:rPr>
          <w:lang w:val="fr-FR"/>
        </w:rPr>
        <w:sym w:font="Wingdings" w:char="F0A8"/>
      </w:r>
      <w:r w:rsidR="00DC42DB" w:rsidRPr="00FE1055">
        <w:rPr>
          <w:lang w:val="fr-FR"/>
        </w:rPr>
        <w:t xml:space="preserve">autre, </w:t>
      </w:r>
      <w:proofErr w:type="gramStart"/>
      <w:r w:rsidR="00C2702C">
        <w:rPr>
          <w:lang w:val="fr-FR"/>
        </w:rPr>
        <w:t>préciser</w:t>
      </w:r>
      <w:proofErr w:type="gramEnd"/>
      <w:r w:rsidR="00566012">
        <w:rPr>
          <w:lang w:val="fr-FR"/>
        </w:rPr>
        <w:t> :</w:t>
      </w:r>
    </w:p>
    <w:p w14:paraId="3656B9AB" w14:textId="77777777" w:rsidR="006358C2" w:rsidRDefault="006358C2" w:rsidP="006358C2">
      <w:pPr>
        <w:rPr>
          <w:lang w:val="fr-FR"/>
        </w:rPr>
      </w:pPr>
    </w:p>
    <w:p w14:paraId="07C00B2B" w14:textId="77777777" w:rsidR="00897BC9" w:rsidRDefault="00897BC9" w:rsidP="00897BC9">
      <w:pPr>
        <w:rPr>
          <w:b/>
          <w:color w:val="0000FF"/>
          <w:lang w:val="fr-FR"/>
        </w:rPr>
      </w:pPr>
      <w:r>
        <w:rPr>
          <w:b/>
          <w:color w:val="0000FF"/>
          <w:lang w:val="fr-FR"/>
        </w:rPr>
        <w:t>Ressources biologiques nécessaires :</w:t>
      </w:r>
      <w:r w:rsidRPr="00897BC9">
        <w:rPr>
          <w:lang w:val="fr-FR"/>
        </w:rPr>
        <w:t xml:space="preserve"> </w:t>
      </w:r>
      <w:r w:rsidR="003A225D">
        <w:rPr>
          <w:lang w:val="fr-FR"/>
        </w:rPr>
        <w:sym w:font="Wingdings" w:char="F06F"/>
      </w:r>
      <w:r w:rsidRPr="00A0407A">
        <w:rPr>
          <w:lang w:val="fr-FR"/>
        </w:rPr>
        <w:t xml:space="preserve"> </w:t>
      </w:r>
      <w:r w:rsidR="00524906" w:rsidRPr="00A0407A">
        <w:rPr>
          <w:lang w:val="fr-FR"/>
        </w:rPr>
        <w:t xml:space="preserve">oui </w:t>
      </w:r>
      <w:r w:rsidR="00524906" w:rsidRPr="00A0407A">
        <w:rPr>
          <w:lang w:val="fr-FR"/>
        </w:rPr>
        <w:tab/>
      </w:r>
      <w:r w:rsidR="003A225D">
        <w:rPr>
          <w:lang w:val="fr-FR"/>
        </w:rPr>
        <w:sym w:font="Wingdings" w:char="F06E"/>
      </w:r>
      <w:r w:rsidRPr="00A0407A">
        <w:rPr>
          <w:lang w:val="fr-FR"/>
        </w:rPr>
        <w:t xml:space="preserve"> non</w:t>
      </w:r>
    </w:p>
    <w:p w14:paraId="31947205" w14:textId="77777777" w:rsidR="003B422D" w:rsidRDefault="00897BC9" w:rsidP="003B422D">
      <w:pPr>
        <w:rPr>
          <w:lang w:val="fr-FR"/>
        </w:rPr>
      </w:pPr>
      <w:r w:rsidRPr="00956511">
        <w:rPr>
          <w:lang w:val="fr-FR"/>
        </w:rPr>
        <w:t xml:space="preserve">Si oui, </w:t>
      </w:r>
      <w:r w:rsidR="005064CB" w:rsidRPr="00956511">
        <w:rPr>
          <w:lang w:val="fr-FR"/>
        </w:rPr>
        <w:t>lesquelles</w:t>
      </w:r>
      <w:r w:rsidR="00956511">
        <w:rPr>
          <w:lang w:val="fr-FR"/>
        </w:rPr>
        <w:t xml:space="preserve"> : </w:t>
      </w:r>
    </w:p>
    <w:p w14:paraId="45FB0818" w14:textId="77777777" w:rsidR="003A225D" w:rsidRPr="00956511" w:rsidRDefault="003A225D" w:rsidP="003B422D">
      <w:pPr>
        <w:rPr>
          <w:lang w:val="fr-FR"/>
        </w:rPr>
      </w:pPr>
    </w:p>
    <w:p w14:paraId="049F31CB" w14:textId="77777777" w:rsidR="00791ED7" w:rsidRDefault="00791ED7" w:rsidP="00402A95">
      <w:pPr>
        <w:rPr>
          <w:lang w:val="fr-FR"/>
        </w:rPr>
      </w:pPr>
    </w:p>
    <w:p w14:paraId="24681C5D" w14:textId="77777777" w:rsidR="00897BC9" w:rsidRDefault="00897BC9" w:rsidP="00897BC9">
      <w:pPr>
        <w:rPr>
          <w:b/>
          <w:color w:val="0000FF"/>
          <w:lang w:val="fr-FR"/>
        </w:rPr>
      </w:pPr>
      <w:r>
        <w:rPr>
          <w:b/>
          <w:color w:val="0000FF"/>
          <w:lang w:val="fr-FR"/>
        </w:rPr>
        <w:t>Ressources DITEP sollicitées :</w:t>
      </w:r>
    </w:p>
    <w:p w14:paraId="430EA102" w14:textId="77777777" w:rsidR="00897BC9" w:rsidRDefault="003A225D" w:rsidP="00897BC9">
      <w:pPr>
        <w:rPr>
          <w:lang w:val="fr-FR"/>
        </w:rPr>
      </w:pPr>
      <w:r>
        <w:rPr>
          <w:lang w:val="fr-FR"/>
        </w:rPr>
        <w:sym w:font="Wingdings" w:char="F06E"/>
      </w:r>
      <w:r w:rsidR="00FC4708" w:rsidRPr="00FE1055">
        <w:rPr>
          <w:lang w:val="fr-FR"/>
        </w:rPr>
        <w:t xml:space="preserve"> </w:t>
      </w:r>
      <w:r w:rsidR="00FC4708">
        <w:rPr>
          <w:lang w:val="fr-FR"/>
        </w:rPr>
        <w:t>Médecin DITEP</w:t>
      </w:r>
      <w:r w:rsidR="00FC4708" w:rsidRPr="00FE1055">
        <w:rPr>
          <w:lang w:val="fr-FR"/>
        </w:rPr>
        <w:t xml:space="preserve">, </w:t>
      </w:r>
      <w:r w:rsidR="00FC4708" w:rsidRPr="00FE1055">
        <w:rPr>
          <w:lang w:val="fr-FR"/>
        </w:rPr>
        <w:sym w:font="Wingdings" w:char="F0A8"/>
      </w:r>
      <w:r w:rsidR="00FC4708" w:rsidRPr="00FE1055">
        <w:rPr>
          <w:lang w:val="fr-FR"/>
        </w:rPr>
        <w:t xml:space="preserve"> </w:t>
      </w:r>
      <w:r w:rsidR="00FC4708">
        <w:rPr>
          <w:lang w:val="fr-FR"/>
        </w:rPr>
        <w:t>CDP</w:t>
      </w:r>
      <w:r w:rsidR="00FC4708" w:rsidRPr="00FE1055">
        <w:rPr>
          <w:lang w:val="fr-FR"/>
        </w:rPr>
        <w:t xml:space="preserve">, </w:t>
      </w:r>
      <w:r w:rsidR="00897BC9" w:rsidRPr="00FE1055">
        <w:rPr>
          <w:lang w:val="fr-FR"/>
        </w:rPr>
        <w:sym w:font="Wingdings" w:char="F0A8"/>
      </w:r>
      <w:r w:rsidR="00897BC9" w:rsidRPr="00FE1055">
        <w:rPr>
          <w:lang w:val="fr-FR"/>
        </w:rPr>
        <w:t xml:space="preserve"> </w:t>
      </w:r>
      <w:r w:rsidR="00897BC9">
        <w:rPr>
          <w:lang w:val="fr-FR"/>
        </w:rPr>
        <w:t>ARC/TEC</w:t>
      </w:r>
      <w:r w:rsidR="00897BC9" w:rsidRPr="00FE1055">
        <w:rPr>
          <w:lang w:val="fr-FR"/>
        </w:rPr>
        <w:t xml:space="preserve">, </w:t>
      </w:r>
      <w:r>
        <w:rPr>
          <w:lang w:val="fr-FR"/>
        </w:rPr>
        <w:sym w:font="Wingdings" w:char="F06E"/>
      </w:r>
      <w:r w:rsidR="005064CB">
        <w:rPr>
          <w:lang w:val="fr-FR"/>
        </w:rPr>
        <w:t xml:space="preserve"> Collection d’échantillons </w:t>
      </w:r>
      <w:r w:rsidR="00EA59C8">
        <w:rPr>
          <w:lang w:val="fr-FR"/>
        </w:rPr>
        <w:t>biologiques</w:t>
      </w:r>
      <w:r>
        <w:rPr>
          <w:lang w:val="fr-FR"/>
        </w:rPr>
        <w:t xml:space="preserve"> si </w:t>
      </w:r>
      <w:r w:rsidR="00524906">
        <w:rPr>
          <w:lang w:val="fr-FR"/>
        </w:rPr>
        <w:t xml:space="preserve">disponible,  </w:t>
      </w:r>
      <w:r w:rsidR="00897BC9" w:rsidRPr="00FE1055">
        <w:rPr>
          <w:lang w:val="fr-FR"/>
        </w:rPr>
        <w:sym w:font="Wingdings" w:char="F0A8"/>
      </w:r>
      <w:r w:rsidR="00897BC9" w:rsidRPr="00FE1055">
        <w:rPr>
          <w:lang w:val="fr-FR"/>
        </w:rPr>
        <w:t xml:space="preserve"> </w:t>
      </w:r>
      <w:r w:rsidR="00897BC9">
        <w:rPr>
          <w:lang w:val="fr-FR"/>
        </w:rPr>
        <w:t>Financement</w:t>
      </w:r>
      <w:r w:rsidR="00897BC9" w:rsidRPr="00FE1055">
        <w:rPr>
          <w:lang w:val="fr-FR"/>
        </w:rPr>
        <w:t xml:space="preserve">, </w:t>
      </w:r>
      <w:r w:rsidR="00897BC9" w:rsidRPr="00FE1055">
        <w:rPr>
          <w:lang w:val="fr-FR"/>
        </w:rPr>
        <w:sym w:font="Wingdings" w:char="F0A8"/>
      </w:r>
      <w:r w:rsidR="00897BC9" w:rsidRPr="00FE1055">
        <w:rPr>
          <w:lang w:val="fr-FR"/>
        </w:rPr>
        <w:t xml:space="preserve">autre, </w:t>
      </w:r>
      <w:proofErr w:type="gramStart"/>
      <w:r w:rsidR="00C2702C">
        <w:rPr>
          <w:lang w:val="fr-FR"/>
        </w:rPr>
        <w:t>préciser</w:t>
      </w:r>
      <w:proofErr w:type="gramEnd"/>
    </w:p>
    <w:p w14:paraId="53128261" w14:textId="77777777" w:rsidR="00524906" w:rsidRPr="005804CB" w:rsidRDefault="00524906" w:rsidP="002607DF">
      <w:pPr>
        <w:rPr>
          <w:b/>
          <w:color w:val="0000FF"/>
          <w:lang w:val="fr-FR"/>
        </w:rPr>
      </w:pPr>
    </w:p>
    <w:p w14:paraId="62486C05" w14:textId="77777777" w:rsidR="00524906" w:rsidRPr="005804CB" w:rsidRDefault="00524906" w:rsidP="002607DF">
      <w:pPr>
        <w:rPr>
          <w:b/>
          <w:color w:val="0000FF"/>
          <w:lang w:val="fr-FR"/>
        </w:rPr>
      </w:pPr>
    </w:p>
    <w:p w14:paraId="2CC27759" w14:textId="77777777" w:rsidR="00B4517A" w:rsidRPr="00E47258" w:rsidRDefault="00504B0A" w:rsidP="002607DF">
      <w:pPr>
        <w:rPr>
          <w:b/>
          <w:color w:val="0000FF"/>
          <w:lang w:val="fr-FR"/>
        </w:rPr>
      </w:pPr>
      <w:r w:rsidRPr="00E47258">
        <w:rPr>
          <w:b/>
          <w:color w:val="0000FF"/>
          <w:lang w:val="fr-FR"/>
        </w:rPr>
        <w:t>DESCRIPTIF DU PROJET</w:t>
      </w:r>
    </w:p>
    <w:p w14:paraId="4101652C" w14:textId="77777777" w:rsidR="00504B0A" w:rsidRPr="00E47258" w:rsidRDefault="00504B0A" w:rsidP="002607DF">
      <w:pPr>
        <w:rPr>
          <w:b/>
          <w:color w:val="0000FF"/>
          <w:lang w:val="fr-FR"/>
        </w:rPr>
      </w:pPr>
    </w:p>
    <w:p w14:paraId="12CB42C9" w14:textId="77777777" w:rsidR="00E252F8" w:rsidRPr="00A0407A" w:rsidRDefault="00DC42DB" w:rsidP="00E252F8">
      <w:pPr>
        <w:rPr>
          <w:b/>
          <w:color w:val="0000FF"/>
          <w:u w:val="single"/>
          <w:lang w:val="fr-FR"/>
        </w:rPr>
      </w:pPr>
      <w:r>
        <w:rPr>
          <w:b/>
          <w:color w:val="0000FF"/>
          <w:u w:val="single"/>
          <w:lang w:val="fr-FR"/>
        </w:rPr>
        <w:lastRenderedPageBreak/>
        <w:t>Objectifs du projet</w:t>
      </w:r>
    </w:p>
    <w:p w14:paraId="4B99056E" w14:textId="77777777" w:rsidR="00E67561" w:rsidRDefault="00E67561" w:rsidP="00E67561">
      <w:pPr>
        <w:rPr>
          <w:b/>
          <w:color w:val="0000FF"/>
          <w:lang w:val="fr-FR"/>
        </w:rPr>
      </w:pPr>
    </w:p>
    <w:p w14:paraId="79D74A40" w14:textId="77777777" w:rsidR="00961640" w:rsidRDefault="00E67561" w:rsidP="00E67561">
      <w:pPr>
        <w:rPr>
          <w:b/>
          <w:color w:val="0000FF"/>
          <w:lang w:val="fr-FR"/>
        </w:rPr>
      </w:pPr>
      <w:r>
        <w:rPr>
          <w:b/>
          <w:color w:val="0000FF"/>
          <w:lang w:val="fr-FR"/>
        </w:rPr>
        <w:t>Primaire :</w:t>
      </w:r>
    </w:p>
    <w:p w14:paraId="274E8306" w14:textId="77777777" w:rsidR="00E67561" w:rsidRPr="00C35780" w:rsidRDefault="00C35780" w:rsidP="00C2702C">
      <w:pPr>
        <w:numPr>
          <w:ilvl w:val="0"/>
          <w:numId w:val="9"/>
        </w:numPr>
        <w:jc w:val="both"/>
        <w:rPr>
          <w:lang w:val="fr-FR"/>
        </w:rPr>
      </w:pPr>
      <w:r>
        <w:rPr>
          <w:lang w:val="fr-FR"/>
        </w:rPr>
        <w:t xml:space="preserve">Evaluer </w:t>
      </w:r>
      <w:r w:rsidR="003A225D" w:rsidRPr="00C35780">
        <w:rPr>
          <w:b/>
          <w:lang w:val="fr-FR"/>
        </w:rPr>
        <w:t>la tolérance</w:t>
      </w:r>
      <w:r w:rsidR="003A225D" w:rsidRPr="00C35780">
        <w:rPr>
          <w:lang w:val="fr-FR"/>
        </w:rPr>
        <w:t xml:space="preserve"> des</w:t>
      </w:r>
      <w:r w:rsidR="006C21C9" w:rsidRPr="00C35780">
        <w:rPr>
          <w:lang w:val="fr-FR"/>
        </w:rPr>
        <w:t xml:space="preserve"> anti-PD</w:t>
      </w:r>
      <w:r w:rsidR="003A225D" w:rsidRPr="00C35780">
        <w:rPr>
          <w:lang w:val="fr-FR"/>
        </w:rPr>
        <w:t>(L</w:t>
      </w:r>
      <w:proofErr w:type="gramStart"/>
      <w:r w:rsidR="003A225D" w:rsidRPr="00C35780">
        <w:rPr>
          <w:lang w:val="fr-FR"/>
        </w:rPr>
        <w:t>)1</w:t>
      </w:r>
      <w:proofErr w:type="gramEnd"/>
      <w:r w:rsidR="003A225D" w:rsidRPr="00C35780">
        <w:rPr>
          <w:lang w:val="fr-FR"/>
        </w:rPr>
        <w:t xml:space="preserve"> chez les patients ayant un </w:t>
      </w:r>
      <w:r w:rsidR="00524906" w:rsidRPr="00C35780">
        <w:rPr>
          <w:lang w:val="fr-FR"/>
        </w:rPr>
        <w:t xml:space="preserve">antécédent de </w:t>
      </w:r>
      <w:r w:rsidR="003A225D" w:rsidRPr="00C35780">
        <w:rPr>
          <w:lang w:val="fr-FR"/>
        </w:rPr>
        <w:t>syndrome paranéoplasique</w:t>
      </w:r>
      <w:r w:rsidR="00092142" w:rsidRPr="00C35780">
        <w:rPr>
          <w:lang w:val="fr-FR"/>
        </w:rPr>
        <w:t xml:space="preserve"> (</w:t>
      </w:r>
      <w:r w:rsidR="00092142" w:rsidRPr="009D1D80">
        <w:rPr>
          <w:b/>
          <w:highlight w:val="yellow"/>
          <w:lang w:val="fr-FR"/>
        </w:rPr>
        <w:t>cohorte 1</w:t>
      </w:r>
      <w:r w:rsidR="00092142" w:rsidRPr="00C35780">
        <w:rPr>
          <w:lang w:val="fr-FR"/>
        </w:rPr>
        <w:t>)</w:t>
      </w:r>
      <w:r w:rsidR="00524906" w:rsidRPr="00C35780">
        <w:rPr>
          <w:lang w:val="fr-FR"/>
        </w:rPr>
        <w:t>.</w:t>
      </w:r>
    </w:p>
    <w:p w14:paraId="1299C43A" w14:textId="77777777" w:rsidR="00E67561" w:rsidRDefault="00E67561" w:rsidP="00E67561">
      <w:pPr>
        <w:rPr>
          <w:b/>
          <w:color w:val="0000FF"/>
          <w:lang w:val="fr-FR"/>
        </w:rPr>
      </w:pPr>
    </w:p>
    <w:p w14:paraId="7304AE47" w14:textId="77777777" w:rsidR="006C21C9" w:rsidRDefault="00E67561" w:rsidP="00E67561">
      <w:pPr>
        <w:rPr>
          <w:b/>
          <w:color w:val="0000FF"/>
          <w:lang w:val="fr-FR"/>
        </w:rPr>
      </w:pPr>
      <w:r>
        <w:rPr>
          <w:b/>
          <w:color w:val="0000FF"/>
          <w:lang w:val="fr-FR"/>
        </w:rPr>
        <w:t>Secondaire :</w:t>
      </w:r>
    </w:p>
    <w:p w14:paraId="485A48D2" w14:textId="77777777" w:rsidR="001D272B" w:rsidRPr="00515AC4" w:rsidRDefault="001D272B" w:rsidP="003A225D">
      <w:pPr>
        <w:numPr>
          <w:ilvl w:val="0"/>
          <w:numId w:val="8"/>
        </w:numPr>
        <w:jc w:val="both"/>
        <w:rPr>
          <w:lang w:val="fr-FR"/>
        </w:rPr>
      </w:pPr>
      <w:r w:rsidRPr="00515AC4">
        <w:rPr>
          <w:lang w:val="fr-FR"/>
        </w:rPr>
        <w:t xml:space="preserve">Evaluer </w:t>
      </w:r>
      <w:r w:rsidRPr="00524906">
        <w:rPr>
          <w:b/>
          <w:lang w:val="fr-FR"/>
        </w:rPr>
        <w:t>le risque de survenu</w:t>
      </w:r>
      <w:r w:rsidRPr="00515AC4">
        <w:rPr>
          <w:lang w:val="fr-FR"/>
        </w:rPr>
        <w:t xml:space="preserve"> d’un syndrome paranéoplasique </w:t>
      </w:r>
      <w:r w:rsidR="00524906">
        <w:rPr>
          <w:lang w:val="fr-FR"/>
        </w:rPr>
        <w:t>chez les patients traités par un</w:t>
      </w:r>
      <w:r w:rsidRPr="00515AC4">
        <w:rPr>
          <w:lang w:val="fr-FR"/>
        </w:rPr>
        <w:t xml:space="preserve"> anti-PD(L</w:t>
      </w:r>
      <w:proofErr w:type="gramStart"/>
      <w:r w:rsidRPr="00515AC4">
        <w:rPr>
          <w:lang w:val="fr-FR"/>
        </w:rPr>
        <w:t>)1</w:t>
      </w:r>
      <w:proofErr w:type="gramEnd"/>
      <w:r w:rsidR="00092142">
        <w:rPr>
          <w:lang w:val="fr-FR"/>
        </w:rPr>
        <w:t xml:space="preserve"> (</w:t>
      </w:r>
      <w:r w:rsidR="00092142" w:rsidRPr="009D1D80">
        <w:rPr>
          <w:b/>
          <w:highlight w:val="yellow"/>
          <w:lang w:val="fr-FR"/>
        </w:rPr>
        <w:t>cohorte 2</w:t>
      </w:r>
      <w:r w:rsidR="00092142">
        <w:rPr>
          <w:lang w:val="fr-FR"/>
        </w:rPr>
        <w:t>)</w:t>
      </w:r>
      <w:r w:rsidR="00524906">
        <w:rPr>
          <w:lang w:val="fr-FR"/>
        </w:rPr>
        <w:t>.</w:t>
      </w:r>
    </w:p>
    <w:p w14:paraId="4DDBEF00" w14:textId="77777777" w:rsidR="00E67561" w:rsidRDefault="00E67561" w:rsidP="00E67561">
      <w:pPr>
        <w:rPr>
          <w:b/>
          <w:color w:val="0000FF"/>
          <w:lang w:val="fr-FR"/>
        </w:rPr>
      </w:pPr>
    </w:p>
    <w:p w14:paraId="7A929E1A" w14:textId="77777777" w:rsidR="00E67561" w:rsidRDefault="00E67561" w:rsidP="00E67561">
      <w:pPr>
        <w:rPr>
          <w:b/>
          <w:color w:val="0000FF"/>
          <w:u w:val="single"/>
          <w:lang w:val="fr-FR"/>
        </w:rPr>
      </w:pPr>
      <w:r w:rsidRPr="00504B0A">
        <w:rPr>
          <w:b/>
          <w:color w:val="0000FF"/>
          <w:u w:val="single"/>
          <w:lang w:val="fr-FR"/>
        </w:rPr>
        <w:t>Descriptif résumé du projet</w:t>
      </w:r>
    </w:p>
    <w:p w14:paraId="3461D779" w14:textId="77777777" w:rsidR="00524906" w:rsidRPr="00504B0A" w:rsidRDefault="00524906" w:rsidP="00E67561">
      <w:pPr>
        <w:rPr>
          <w:b/>
          <w:color w:val="0000FF"/>
          <w:u w:val="single"/>
          <w:lang w:val="fr-FR"/>
        </w:rPr>
      </w:pPr>
    </w:p>
    <w:p w14:paraId="3E720253" w14:textId="77777777" w:rsidR="00341680" w:rsidRDefault="006C21C9" w:rsidP="00961640">
      <w:pPr>
        <w:jc w:val="both"/>
        <w:rPr>
          <w:lang w:val="fr-FR"/>
        </w:rPr>
      </w:pPr>
      <w:r w:rsidRPr="00961640">
        <w:rPr>
          <w:lang w:val="fr-FR"/>
        </w:rPr>
        <w:t xml:space="preserve">Les </w:t>
      </w:r>
      <w:r w:rsidR="00EA59C8">
        <w:rPr>
          <w:lang w:val="fr-FR"/>
        </w:rPr>
        <w:t>immunothérapies</w:t>
      </w:r>
      <w:r w:rsidRPr="00961640">
        <w:rPr>
          <w:lang w:val="fr-FR"/>
        </w:rPr>
        <w:t xml:space="preserve"> anti-PD</w:t>
      </w:r>
      <w:r w:rsidR="003A225D">
        <w:rPr>
          <w:lang w:val="fr-FR"/>
        </w:rPr>
        <w:t>(L</w:t>
      </w:r>
      <w:proofErr w:type="gramStart"/>
      <w:r w:rsidR="003A225D">
        <w:rPr>
          <w:lang w:val="fr-FR"/>
        </w:rPr>
        <w:t>)</w:t>
      </w:r>
      <w:r w:rsidRPr="00961640">
        <w:rPr>
          <w:lang w:val="fr-FR"/>
        </w:rPr>
        <w:t>1</w:t>
      </w:r>
      <w:proofErr w:type="gramEnd"/>
      <w:r w:rsidRPr="00961640">
        <w:rPr>
          <w:lang w:val="fr-FR"/>
        </w:rPr>
        <w:t xml:space="preserve"> sont utilisé</w:t>
      </w:r>
      <w:r w:rsidR="00EA59C8">
        <w:rPr>
          <w:lang w:val="fr-FR"/>
        </w:rPr>
        <w:t>e</w:t>
      </w:r>
      <w:r w:rsidRPr="00961640">
        <w:rPr>
          <w:lang w:val="fr-FR"/>
        </w:rPr>
        <w:t xml:space="preserve">s </w:t>
      </w:r>
      <w:r w:rsidR="00961640">
        <w:rPr>
          <w:lang w:val="fr-FR"/>
        </w:rPr>
        <w:t xml:space="preserve">de plus en plus </w:t>
      </w:r>
      <w:r w:rsidRPr="00961640">
        <w:rPr>
          <w:lang w:val="fr-FR"/>
        </w:rPr>
        <w:t xml:space="preserve">largement en </w:t>
      </w:r>
      <w:r w:rsidR="00154026" w:rsidRPr="00961640">
        <w:rPr>
          <w:lang w:val="fr-FR"/>
        </w:rPr>
        <w:t>oncohématologie</w:t>
      </w:r>
      <w:r w:rsidRPr="00961640">
        <w:rPr>
          <w:lang w:val="fr-FR"/>
        </w:rPr>
        <w:t xml:space="preserve"> dans le traitement du mélanome, carcinome </w:t>
      </w:r>
      <w:r w:rsidR="00961640">
        <w:rPr>
          <w:lang w:val="fr-FR"/>
        </w:rPr>
        <w:t>de vessie et</w:t>
      </w:r>
      <w:r w:rsidRPr="00961640">
        <w:rPr>
          <w:lang w:val="fr-FR"/>
        </w:rPr>
        <w:t xml:space="preserve"> lymphome de hodgkin</w:t>
      </w:r>
      <w:r w:rsidR="00961640">
        <w:rPr>
          <w:lang w:val="fr-FR"/>
        </w:rPr>
        <w:t xml:space="preserve"> en rechute ou réfractaires. </w:t>
      </w:r>
      <w:r w:rsidR="00524906">
        <w:rPr>
          <w:lang w:val="fr-FR"/>
        </w:rPr>
        <w:t>Les traitements anti-PD(L)1 peuvent</w:t>
      </w:r>
      <w:r w:rsidR="00961640">
        <w:rPr>
          <w:lang w:val="fr-FR"/>
        </w:rPr>
        <w:t xml:space="preserve"> </w:t>
      </w:r>
      <w:r w:rsidRPr="00961640">
        <w:rPr>
          <w:lang w:val="fr-FR"/>
        </w:rPr>
        <w:t>se complique</w:t>
      </w:r>
      <w:r w:rsidR="00524906">
        <w:rPr>
          <w:lang w:val="fr-FR"/>
        </w:rPr>
        <w:t>r</w:t>
      </w:r>
      <w:r w:rsidRPr="00961640">
        <w:rPr>
          <w:lang w:val="fr-FR"/>
        </w:rPr>
        <w:t xml:space="preserve"> d’effets secondaires immuns-</w:t>
      </w:r>
      <w:proofErr w:type="spellStart"/>
      <w:r w:rsidRPr="00961640">
        <w:rPr>
          <w:lang w:val="fr-FR"/>
        </w:rPr>
        <w:t>médiés</w:t>
      </w:r>
      <w:proofErr w:type="spellEnd"/>
      <w:r w:rsidRPr="00961640">
        <w:rPr>
          <w:lang w:val="fr-FR"/>
        </w:rPr>
        <w:t xml:space="preserve"> </w:t>
      </w:r>
      <w:r w:rsidR="00961640">
        <w:rPr>
          <w:lang w:val="fr-FR"/>
        </w:rPr>
        <w:t xml:space="preserve">de tous grades dans </w:t>
      </w:r>
      <w:r w:rsidR="00524906">
        <w:rPr>
          <w:lang w:val="fr-FR"/>
        </w:rPr>
        <w:t>4</w:t>
      </w:r>
      <w:r w:rsidR="00961640">
        <w:rPr>
          <w:lang w:val="fr-FR"/>
        </w:rPr>
        <w:t>0% des cas</w:t>
      </w:r>
      <w:r w:rsidR="00EA59C8">
        <w:rPr>
          <w:lang w:val="fr-FR"/>
        </w:rPr>
        <w:t>,</w:t>
      </w:r>
      <w:r w:rsidR="00961640">
        <w:rPr>
          <w:lang w:val="fr-FR"/>
        </w:rPr>
        <w:t xml:space="preserve"> et de grade 3-4 dans </w:t>
      </w:r>
      <w:r w:rsidR="00524906">
        <w:rPr>
          <w:lang w:val="fr-FR"/>
        </w:rPr>
        <w:t>8</w:t>
      </w:r>
      <w:r w:rsidR="00961640">
        <w:rPr>
          <w:lang w:val="fr-FR"/>
        </w:rPr>
        <w:t>% des cas</w:t>
      </w:r>
      <w:r w:rsidR="00133D80">
        <w:rPr>
          <w:lang w:val="fr-FR"/>
        </w:rPr>
        <w:fldChar w:fldCharType="begin"/>
      </w:r>
      <w:r w:rsidR="00133D80">
        <w:rPr>
          <w:lang w:val="fr-FR"/>
        </w:rPr>
        <w:instrText xml:space="preserve"> ADDIN ZOTERO_ITEM CSL_CITATION {"citationID":"ZCw15gZM","properties":{"formattedCitation":"[1]","plainCitation":"[1]","noteIndex":0},"citationItems":[{"id":105,"uris":["http://zotero.org/users/188152/items/AEACZKRQ"],"uri":["http://zotero.org/users/188152/items/AEACZKRQ"],"itemData":{"id":105,"type":"article-journal","title":"Management of immune checkpoint blockade dysimmune toxicities: a collaborative position paper","container-title":"Annals of oncology: official journal of the European Society for Medical Oncology / ESMO","page":"559-574","volume":"27","issue":"4","source":"PubMed","abstract":"Monoclonal antibodies targeted against the immune checkpoint molecules CTLA-4 and PD-1 have recently obtained approval for the treatment of metastatic melanoma and advanced/refractory non small-cell lung cancers. Therefore, their use will not be limited anymore to selected hospitals involved in clinical trials. Indeed, they will be routinely prescribed in many cancer centers across the world. Besides their efficacy profile, these immune targeted agents also generate immune-related adverse events (irAEs). This new family of dysimmune toxicities remains largely unknown to the broad oncology community. Although severe irAEs remain rare (</w:instrText>
      </w:r>
      <w:r w:rsidR="00133D80">
        <w:rPr>
          <w:rFonts w:ascii="Cambria Math" w:hAnsi="Cambria Math" w:cs="Cambria Math"/>
          <w:lang w:val="fr-FR"/>
        </w:rPr>
        <w:instrText>∼</w:instrText>
      </w:r>
      <w:r w:rsidR="00133D80">
        <w:rPr>
          <w:lang w:val="fr-FR"/>
        </w:rPr>
        <w:instrText xml:space="preserve">10% of cases under monotherapy), they can become life-threatening if not anticipated and managed appropriately. Over the last 5 years, Gustave Roussy has accumulated a significant experience in the prescription of immune checkpoint blockade (ICB) antibodies and the management of their toxicities. Together with the collaboration of Gustave Roussy's network of organ specialists with expertise in irAEs, we propose here some practical guidelines for the oncologist to help in the clinical care of patients under ICB immunotherapy.","DOI":"10.1093/annonc/mdv623","ISSN":"1569-8041","note":"PMID: 26715621","shortTitle":"Management of immune checkpoint blockade dysimmune toxicities","journalAbbreviation":"Ann. Oncol.","language":"eng","author":[{"family":"Champiat","given":"S."},{"family":"Lambotte","given":"O."},{"family":"Barreau","given":"E."},{"family":"Belkhir","given":"R."},{"family":"Berdelou","given":"A."},{"family":"Carbonnel","given":"F."},{"family":"Cauquil","given":"C."},{"family":"Chanson","given":"P."},{"family":"Collins","given":"M."},{"family":"Durrbach","given":"A."},{"family":"Ederhy","given":"S."},{"family":"Feuillet","given":"S."},{"family":"François","given":"H."},{"family":"Lazarovici","given":"J."},{"family":"Le Pavec","given":"J."},{"family":"De Martin","given":"E."},{"family":"Mateus","given":"C."},{"family":"Michot","given":"J.-M."},{"family":"Samuel","given":"D."},{"family":"Soria","given":"J.-C."},{"family":"Robert","given":"C."},{"family":"Eggermont","given":"A."},{"family":"Marabelle","given":"A."}],"issued":{"date-parts":[["2016",4]]}}}],"schema":"https://github.com/citation-style-language/schema/raw/master/csl-citation.json"} </w:instrText>
      </w:r>
      <w:r w:rsidR="00133D80">
        <w:rPr>
          <w:lang w:val="fr-FR"/>
        </w:rPr>
        <w:fldChar w:fldCharType="separate"/>
      </w:r>
      <w:r w:rsidR="00133D80" w:rsidRPr="001044A3">
        <w:rPr>
          <w:lang w:val="fr-FR"/>
        </w:rPr>
        <w:t>[1]</w:t>
      </w:r>
      <w:r w:rsidR="00133D80">
        <w:rPr>
          <w:lang w:val="fr-FR"/>
        </w:rPr>
        <w:fldChar w:fldCharType="end"/>
      </w:r>
      <w:r w:rsidR="00961640">
        <w:rPr>
          <w:lang w:val="fr-FR"/>
        </w:rPr>
        <w:t xml:space="preserve">. </w:t>
      </w:r>
      <w:r w:rsidR="001E6C12">
        <w:rPr>
          <w:lang w:val="fr-FR"/>
        </w:rPr>
        <w:t xml:space="preserve">Il y a deux </w:t>
      </w:r>
      <w:r w:rsidR="001044A3">
        <w:rPr>
          <w:lang w:val="fr-FR"/>
        </w:rPr>
        <w:t>catégories</w:t>
      </w:r>
      <w:r w:rsidR="001E6C12">
        <w:rPr>
          <w:lang w:val="fr-FR"/>
        </w:rPr>
        <w:t xml:space="preserve"> d’effets secondaires </w:t>
      </w:r>
      <w:r w:rsidR="001044A3">
        <w:rPr>
          <w:lang w:val="fr-FR"/>
        </w:rPr>
        <w:t>re</w:t>
      </w:r>
      <w:r w:rsidR="001E6C12">
        <w:rPr>
          <w:lang w:val="fr-FR"/>
        </w:rPr>
        <w:t>connus</w:t>
      </w:r>
      <w:r w:rsidR="001044A3">
        <w:rPr>
          <w:lang w:val="fr-FR"/>
        </w:rPr>
        <w:fldChar w:fldCharType="begin"/>
      </w:r>
      <w:r w:rsidR="001044A3">
        <w:rPr>
          <w:lang w:val="fr-FR"/>
        </w:rPr>
        <w:instrText xml:space="preserve"> ADDIN ZOTERO_ITEM CSL_CITATION {"citationID":"woKKC5Sz","properties":{"formattedCitation":"[2, 3]","plainCitation":"[2, 3]","noteIndex":0},"citationItems":[{"id":1811,"uris":["http://zotero.org/users/188152/items/3BCIN6T3"],"uri":["http://zotero.org/users/188152/items/3BCIN6T3"],"itemData":{"id":1811,"type":"article-journal","title":"Safety and efficacy of anti-programmed death 1 antibodies in patients with cancer and pre-existing autoimmune or inflammatory disease","container-title":"European Journal of Cancer (Oxford, England: 1990)","page":"21-29","volume":"91","source":"PubMed","abstract":"OBJECTIVE: Patients with autoimmune or inflammatory disease (AID) are susceptible to immune-related adverse events (irAEs) when treated with immune check-point inhibitors (ICIs). We decided to analyse the safety and effectiveness of anti-PD-1 antibodies in AID patients and look for an association between the presence of pre-existing AID and the clinical outcome.\nMETHODS: In a prospective study of the REISAMIC registry of grade ≥2 irAEs occurring in ICI-treated patients, we studied the associations between pre-existing AID on one hand and irAE-free survival, overall survival and best objective response rate on the other.\nRESULTS: We identified 45 patients with 53 AIDs in REISAMIC. The cancer diagnoses included melanoma (n = 36), non-small-cell lung cancer (n = 6) and others (n = 3). The most frequent pre-existing AIDs were vitiligo (n = 17), psoriasis (n = 12), thyroiditis (n = 7), Sjögren syndrome (n = 4) and rheumatoid arthritis (n = 2). Twenty patients (44.4%) presented with at least one irAE: eleven of these were associated with a pre-existing AID ('AID flare'). Treatment with anti-PD-1 antibodies was maintained in 15 of the 20 patients with an irAE. The IrAE-free survival time was significantly shorter in AID patients (median: 5.4 months) than in AID-free patients (median: 13 months, p = 2.1 × 10-4). The AID and AID-free groups did not differ significantly with regard to the overall survival time and objective response rate (p = 0.38 and 0.098, respectively).\nCONCLUSION: In patients treated with anti-PD-1 antibody, pre-existing AID was associated with a significantly increased risk of irAEs. Our results indicate that cancer treatments with anti-PD-1 antibodies are just as effective in AID patients as they are in AID-free patients.","DOI":"10.1016/j.ejca.2017.12.008","ISSN":"1879-0852","note":"PMID: 29331748","journalAbbreviation":"Eur. J. Cancer","language":"eng","author":[{"family":"Danlos","given":"François-Xavier"},{"family":"Voisin","given":"Anne-Laure"},{"family":"Dyevre","given":"Valérie"},{"family":"Michot","given":"Jean-Marie"},{"family":"Routier","given":"Emilie"},{"family":"Taillade","given":"Laurent"},{"family":"Champiat","given":"Stéphane"},{"family":"Aspeslagh","given":"Sandrine"},{"family":"Haroche","given":"Julien"},{"family":"Albiges","given":"Laurence"},{"family":"Massard","given":"Christophe"},{"family":"Girard","given":"Nicolas"},{"family":"Dalle","given":"Stéphane"},{"family":"Besse","given":"Benjamin"},{"family":"Laghouati","given":"Salim"},{"family":"Soria","given":"Jean-Charles"},{"family":"Mateus","given":"Christine"},{"family":"Robert","given":"Caroline"},{"family":"Lanoy","given":"Emilie"},{"family":"Marabelle","given":"Aurélien"},{"family":"Lambotte","given":"Olivier"}],"issued":{"date-parts":[["2018",3]]}}},{"id":254,"uris":["http://zotero.org/users/188152/items/NKMU9X5F"],"uri":["http://zotero.org/users/188152/items/NKMU9X5F"],"itemData":{"id":254,"type":"article-journal","title":"Immune-related adverse events with immune checkpoint blockade: a comprehensive review","container-title":"European Journal of Cancer (Oxford, England: 1990)","page":"139-148","volume":"54","source":"PubMed","abstract":"Cancer immunotherapy is coming of age; it has prompted a paradigm shift in oncology, in which therapeutic agents are used to target immune cells rather than cancer cells. The first generation of new immunotherapies corresponds to antagonistic antibodies that block specific immune checkpoint molecules cytotoxic T-lymphocyte-associated antigen 4 (CTLA-4), programmed cell death protein (PD-1) and its ligand PD-L1. Targeting these checkpoints in patients living with cancer had led to long-lasting tumour responses. By unbalancing the immune system, these new immunotherapies also generate dysimmune toxicities, called immune-related adverse events (IRAEs) that mainly involve the gut, skin, endocrine glands, liver, and lung but can potentially affect any tissue. In view of their undisputed clinical efficacy, anti-CTLA-4 and anti-PD-1 antibodies are entering in the routine oncological practice, and the number of patients exposed to these drugs will increase dramatically in the near future. Although steroids can be used to treat these IRAEs, the associated immunosuppression may compromise the antitumour response. Oncologists must be ready to detect and manage these new types of adverse events. This review focuses on the mechanisms of IRAE generation, putative relationship between dysimmune toxicity and antitumour efficacy, as a basis for management guidelines.","DOI":"10.1016/j.ejca.2015.11.016","ISSN":"1879-0852","note":"PMID: 26765102","shortTitle":"Immune-related adverse events with immune checkpoint blockade","journalAbbreviation":"Eur. J. Cancer","language":"eng","author":[{"family":"Michot","given":"J. M."},{"family":"Bigenwald","given":"C."},{"family":"Champiat","given":"S."},{"family":"Collins","given":"M."},{"family":"Carbonnel","given":"F."},{"family":"Postel-Vinay","given":"S."},{"family":"Berdelou","given":"A."},{"family":"Varga","given":"A."},{"family":"Bahleda","given":"R."},{"family":"Hollebecque","given":"A."},{"family":"Massard","given":"C."},{"family":"Fuerea","given":"A."},{"family":"Ribrag","given":"V."},{"family":"Gazzah","given":"A."},{"family":"Armand","given":"J. P."},{"family":"Amellal","given":"N."},{"family":"Angevin","given":"E."},{"family":"Noel","given":"N."},{"family":"Boutros","given":"C."},{"family":"Mateus","given":"C."},{"family":"Robert","given":"C."},{"family":"Soria","given":"J. C."},{"family":"Marabelle","given":"A."},{"family":"Lambotte","given":"O."}],"issued":{"date-parts":[["2016",2]]}}}],"schema":"https://github.com/citation-style-language/schema/raw/master/csl-citation.json"} </w:instrText>
      </w:r>
      <w:r w:rsidR="001044A3">
        <w:rPr>
          <w:lang w:val="fr-FR"/>
        </w:rPr>
        <w:fldChar w:fldCharType="separate"/>
      </w:r>
      <w:r w:rsidR="001044A3" w:rsidRPr="001044A3">
        <w:rPr>
          <w:lang w:val="fr-FR"/>
        </w:rPr>
        <w:t>[2, 3]</w:t>
      </w:r>
      <w:r w:rsidR="001044A3">
        <w:rPr>
          <w:lang w:val="fr-FR"/>
        </w:rPr>
        <w:fldChar w:fldCharType="end"/>
      </w:r>
      <w:r w:rsidR="001E6C12">
        <w:rPr>
          <w:lang w:val="fr-FR"/>
        </w:rPr>
        <w:t xml:space="preserve">, soit </w:t>
      </w:r>
      <w:r w:rsidR="001D272B">
        <w:rPr>
          <w:lang w:val="fr-FR"/>
        </w:rPr>
        <w:t>(</w:t>
      </w:r>
      <w:r w:rsidR="001044A3">
        <w:rPr>
          <w:lang w:val="fr-FR"/>
        </w:rPr>
        <w:t>a</w:t>
      </w:r>
      <w:r w:rsidR="001D272B">
        <w:rPr>
          <w:lang w:val="fr-FR"/>
        </w:rPr>
        <w:t>) le plus souvent la survenue d’une inflammation immune-</w:t>
      </w:r>
      <w:proofErr w:type="spellStart"/>
      <w:r w:rsidR="001D272B">
        <w:rPr>
          <w:lang w:val="fr-FR"/>
        </w:rPr>
        <w:t>médiée</w:t>
      </w:r>
      <w:proofErr w:type="spellEnd"/>
      <w:r w:rsidR="001D272B">
        <w:rPr>
          <w:lang w:val="fr-FR"/>
        </w:rPr>
        <w:t xml:space="preserve"> qui peut théoriquement toucher tous les organes (thyroïde, tube digestif, </w:t>
      </w:r>
      <w:r w:rsidR="001044A3">
        <w:rPr>
          <w:lang w:val="fr-FR"/>
        </w:rPr>
        <w:t xml:space="preserve">poumon, </w:t>
      </w:r>
      <w:r w:rsidR="001D272B">
        <w:rPr>
          <w:lang w:val="fr-FR"/>
        </w:rPr>
        <w:t>peau, articulations</w:t>
      </w:r>
      <w:r w:rsidR="001044A3">
        <w:rPr>
          <w:lang w:val="fr-FR"/>
        </w:rPr>
        <w:t>, œil</w:t>
      </w:r>
      <w:r w:rsidR="001D272B">
        <w:rPr>
          <w:lang w:val="fr-FR"/>
        </w:rPr>
        <w:t>…), soit (</w:t>
      </w:r>
      <w:r w:rsidR="001044A3">
        <w:rPr>
          <w:lang w:val="fr-FR"/>
        </w:rPr>
        <w:t>b</w:t>
      </w:r>
      <w:r w:rsidR="001E6C12">
        <w:rPr>
          <w:lang w:val="fr-FR"/>
        </w:rPr>
        <w:t xml:space="preserve">) </w:t>
      </w:r>
      <w:r w:rsidR="001D272B">
        <w:rPr>
          <w:lang w:val="fr-FR"/>
        </w:rPr>
        <w:t xml:space="preserve">plus rarement </w:t>
      </w:r>
      <w:r w:rsidR="001044A3">
        <w:rPr>
          <w:lang w:val="fr-FR"/>
        </w:rPr>
        <w:t>la survenue ou la</w:t>
      </w:r>
      <w:r w:rsidR="001E6C12">
        <w:rPr>
          <w:lang w:val="fr-FR"/>
        </w:rPr>
        <w:t xml:space="preserve"> réactivation d’une maladie auto-i</w:t>
      </w:r>
      <w:r w:rsidR="001D272B">
        <w:rPr>
          <w:lang w:val="fr-FR"/>
        </w:rPr>
        <w:t>mmune méconnue ou latente.</w:t>
      </w:r>
    </w:p>
    <w:p w14:paraId="7F55C285" w14:textId="77777777" w:rsidR="00961640" w:rsidRDefault="00341680" w:rsidP="001D272B">
      <w:pPr>
        <w:jc w:val="both"/>
        <w:rPr>
          <w:lang w:val="fr-FR"/>
        </w:rPr>
      </w:pPr>
      <w:r>
        <w:rPr>
          <w:lang w:val="fr-FR"/>
        </w:rPr>
        <w:t xml:space="preserve">Les syndromes paranéoplasiques sont des conditions auto-immunes particulières, </w:t>
      </w:r>
      <w:r w:rsidR="00E05411">
        <w:rPr>
          <w:lang w:val="fr-FR"/>
        </w:rPr>
        <w:t>générés par les cellules tumorales</w:t>
      </w:r>
      <w:r w:rsidR="007C2E02">
        <w:rPr>
          <w:lang w:val="fr-FR"/>
        </w:rPr>
        <w:fldChar w:fldCharType="begin"/>
      </w:r>
      <w:r w:rsidR="007C2E02">
        <w:rPr>
          <w:lang w:val="fr-FR"/>
        </w:rPr>
        <w:instrText xml:space="preserve"> ADDIN ZOTERO_ITEM CSL_CITATION {"citationID":"rnL5VuIi","properties":{"formattedCitation":"[4\\uc0\\u8211{}10]","plainCitation":"[4–10]","noteIndex":0},"citationItems":[{"id":1813,"uris":["http://zotero.org/users/188152/items/98MCILG6"],"uri":["http://zotero.org/users/188152/items/98MCILG6"],"itemData":{"id":1813,"type":"article-journal","title":"Paraneoplastic glomerular diseases and malignancies","container-title":"Critical Reviews in Oncology/Hematology","page":"39-58","volume":"70","issue":"1","source":"PubMed","abstract":"Paraneoplastic glomerulopathies are rare manifestations of neoplastic disease to be distinguished from iatrogenic renal damage. Solid tumors are preferentially associated with membranous nephropathy, whereas Hodgkin's lymphomas are associated with minimal change disease. The most common neoplasia associated with paraneoplastic glomerular disease are carcinomas of the lung and of the gastrointestinal tract. Nephrotic syndrome is the most frequent presentation of paraneoplastic glomerulopathy and the most critical glomerular disease regarding prognosis and patient care. Renal biopsy is recommended in patients with glomerular proteinuria or nephrotic syndrome and cancer, depending on life expectancy and therapeutic options. The primary treatment must be directed at the cancer in all cases. Symptomatic treatment of the nephrotic syndrome with diuretics and ACE inhibitors is justified. Prevention of nephrotic syndrome complications, i.e. thromboses and infections, should also be addressed and systematic regular renal follow-up is warranted. All treatments should be regularly reviewed to avoid toxicity, associated renal function loss or low albumin levels for patients receiving albumin-binding drugs. Epidemiologic studies have low evidence-based value. There is no widely accepted experimental model of the association of glomerulopathy and cancer. Thus, epidemiologic and mechanistic studies are needed to determine the true prevalence of paraneoplastic glomerulopathies and investigate new pathophysiologic approaches.","DOI":"10.1016/j.critrevonc.2008.08.003","ISSN":"1879-0461","note":"PMID: 18790651","journalAbbreviation":"Crit. Rev. Oncol. Hematol.","language":"eng","author":[{"family":"Bacchetta","given":"Justine"},{"family":"Juillard","given":"Laurent"},{"family":"Cochat","given":"Pierre"},{"family":"Droz","given":"Jean-Pierre"}],"issued":{"date-parts":[["2009",4]]}}},{"id":1815,"uris":["http://zotero.org/users/188152/items/436GW82Y"],"uri":["http://zotero.org/users/188152/items/436GW82Y"],"itemData":{"id":1815,"type":"article-journal","title":"Paraneoplastic neurologic syndrome in the PNS Euronetwork database: a European study from 20 centers","container-title":"Archives of Neurology","page":"330-335","volume":"67","issue":"3","source":"PubMed","abstract":"BACKGROUND: Paraneoplastic neurologic syndrome (PNS) represents the remote effects of cancer on the nervous system. Diagnostic criteria for the syndrome were published by the PNS Euronetwork and form the basis of a database to collect standardized clinical data from patients with PNS.\nOBJECTIVES: To analyze various types of PNS, frequent tumor and antibody associations, clinical characteristics of individual syndromes, and possible therapeutic and prognostic strategies.\nDESIGN: Prospective case series and database study.\nSETTING: Twenty European centers. Patients Patients were recruited from January 1, 2000, to December 31, 2008.\nMAIN OUTCOME MEASURES: Based on diagnostic criteria published by the PNS Euronetwork consortium, clinical characteristics of classic PNS and several other less well-characterized syndromes associated with cancer were assessed.\nRESULTS: Data from 979 patients were analyzed, representing the largest PNS investigation to date. The findings elucidate the clinical evolution of paraneoplastic cerebellar syndrome according to the onconeural antibodies present, the heterogeneity and prognosis of dysautonomic disorders, and the clinical variability of paraneoplastic limbic encephalitis.\nCONCLUSION: The study results confirm that PNS influences oncologic patient survival. Tumors are the main cause of death, but some types of PNS (such as dysautonomia) have a poorer prognosis than malignant neoplasms.","DOI":"10.1001/archneurol.2009.341","ISSN":"1538-3687","note":"PMID: 20212230","shortTitle":"Paraneoplastic neurologic syndrome in the PNS Euronetwork database","journalAbbreviation":"Arch. Neurol.","language":"eng","author":[{"family":"Giometto","given":"Bruno"},{"family":"Grisold","given":"Wolfgang"},{"family":"Vitaliani","given":"Roberta"},{"family":"Graus","given":"Francesc"},{"family":"Honnorat","given":"Jérôme"},{"family":"Bertolini","given":"Guido"},{"literal":"PNS Euronetwork"}],"issued":{"date-parts":[["2010",3]]}}},{"id":1817,"uris":["http://zotero.org/users/188152/items/TQJYFVZU"],"uri":["http://zotero.org/users/188152/items/TQJYFVZU"],"itemData":{"id":1817,"type":"article-journal","title":"Paraneoplastic syndromes in rheumatology","container-title":"Nature Reviews. Rheumatology","page":"662-670","volume":"10","issue":"11","source":"PubMed","abstract":"For patients that present with musculoskeletal symptoms, diagnostic procedures carried out by physicians and rheumatologists are primarily aimed at confirming or excluding the occurrence of primary rheumatic diseases. Another important trigger for musculoskeletal disease, however, is the presence of a tumour. Careful clinical investigation and knowledge of the gestalt of musculoskeletal syndromes related to respective tumour entities is of utmost importance for the diagnosis of paraneoplastic rheumatic diseases such as hypertrophic osteoarthropathy, paraneoplastic polyarthritis, RS3PE syndrome, palmar fasciitis and polyarthritis, cancer-associated myositis and tumour-induced osteomalacia. This places great responsibility on rheumatologists in diagnosing malignancies and referring the patient for effective treatment. The selective influence of tumours on musculoskeletal tissue is surprising and indicates that tumours alter tissues such as the periosteum, synovial membrane, subcutaneous connective tissue, fascia, muscles and bones by specific molecular processes. Some of the underlying mechanisms have been unravelled, providing valuable information on the physiologic and pathophysiologic roles of mediators such as vascular endothelial growth factor and fibroblast growth factor 23.","DOI":"10.1038/nrrheum.2014.138","ISSN":"1759-4804","note":"PMID: 25136782","journalAbbreviation":"Nat Rev Rheumatol","language":"eng","author":[{"family":"Manger","given":"Bernhard"},{"family":"Schett","given":"Georg"}],"issued":{"date-parts":[["2014",11]]}}},{"id":1819,"uris":["http://zotero.org/users/188152/items/2N62DB2W"],"uri":["http://zotero.org/users/188152/items/2N62DB2W"],"itemData":{"id":1819,"type":"article-journal","title":"Paraneoplastic vasculitis in patients with solid tumors: report of 15 cases","container-title":"The Journal of Rheumatology","page":"294-304","volume":"35","issue":"2","source":"PubMed","abstract":"OBJECTIVE: To review all cases of concurrent vasculitis and solid tumors diagnosed at our Department over a 15-year period and explore evidence that would support the notion of vasculitis being a true paraneoplastic syndrome.\nMETHODS: We reviewed the records of all patients diagnosed with vasculitis and solid tumors within 12 months of each other and prospectively followed until death or our report. We analyzed the main features and outcome of vasculitis in this setting. We also reviewed all cases published in the French-English literature.\nRESULTS: Fifteen patients (9 men and 6 women) in whom both vasculitis and solid tumor occurred within the same 12 months were identified. Mean age was 72.5 years (range 58-84). In 7 cases the diagnosis of vasculitis antedated that of cancer, in 6 both processes were synchronously diagnosed, and in 2 vasculitis appeared after cancer diagnosis. The most common vasculitis was cutaneous leukocytoclastic vasculitis (n = 9). Other vasculitides included Henoch-Shönlein purpura (n = 2), polyarteritis nodosa (n = 1), and giant cell arteritis (n = 3). The commonest malignancies were carcinomas of urinary organs (40%), lung (26.7%), and gastrointestinal tract (26.7%). The median followup was 28.4 months (range 1-96). Thirteen of the 15 patients demonstrated concordance of disease activity and treatment response for both cancer and vasculitis. Vasculitis flared heralding tumor recurrence or progression in 7 (46.6%) cases.\nCONCLUSION: In our patients, resolution of vasculitis following effective treatment of the putatively linked malignancy, and recurrence of vasculitis heralding tumor recurrence or progression, provide strong evidence for vasculitis being a true paraneoplastic syndrome. Chronic or persistent vasculitis with poor response to usually effective therapy, especially in elderly patients, should raise questions about underlying malignancy.","ISSN":"0315-162X","note":"PMID: 18085729","shortTitle":"Paraneoplastic vasculitis in patients with solid tumors","journalAbbreviation":"J. Rheumatol.","language":"eng","author":[{"family":"Solans-Laqué","given":"Roser"},{"family":"Bosch-Gil","given":"Josep Angel"},{"family":"Pérez-Bocanegra","given":"Carmen"},{"family":"Selva-O'Callaghan","given":"Albert"},{"family":"Simeón-Aznar","given":"Carmen P."},{"family":"Vilardell-Tarres","given":"Miquel"}],"issued":{"date-parts":[["2008",2]]}}},{"id":1823,"uris":["http://zotero.org/users/188152/items/63B9ZT6R"],"uri":["http://zotero.org/users/188152/items/63B9ZT6R"],"itemData":{"id":1823,"type":"article-journal","title":"Association between systemic sclerosis and breast cancer: eight new cases and review of the literature","container-title":"Clinical Rheumatology","page":"516-522","volume":"23","issue":"6","source":"PubMed","abstract":"Several studies have demonstrated an increased frequency of cancer in patients with systemic sclerosis (SSc), specially lung and breast cancers. The pathogenesis of the association between SSc and cancer is not fully established. The aim of this study was to describe new cases of the association between SSc and breast cancer and to perform a review of the literature. We retrospectively studied the medical files of eight patients followed in our institution for SSc and breast cancer. We analyzed them with data available in the literature for a total of 46 patients. Cutaneous extension of SSc was clearly mentioned in 17 cases: the SSc was limited in 10 cases and diffuse in 7 cases The median age at the diagnosis of cancer was 54 years (range: 40-71). The median duration between SSc onset and breast cancer diagnosis was 11.5 months (range: 0-288). The duration between SSc onset and breast cancer diagnosis was &lt; or = 12 months in 27 of 44 patients (61.4%), and in 11 (25%) of them the diagnosis of both diseases was made simultaneously. It was clearly mentioned for 35 patients whether the diagnosis of breast cancer was made before or after the onset of SSc. The diagnosis of breast cancer was made before SSc onset in 17 of 35 patients (48.6%) and after SSc onset in 18 of 35 patients (51.4%). For 33 patients, the follow-up was available: 18 (54.5%) died, 11 (33.3%) of them within the 1st year after the diagnosis of the cancer. For none of the patients did the anticancer treatment improve the SSc. The close temporal relationship between SSc onset and breast cancer diagnosis is highly suggestive of a pathophysiological link. SSc is probably not a paraneoplastic disease since the anticancer treatment has no influence on the evolution of SSc. However, it can be suggested that SSc could be a disease facilitating breast cancer and/or metastases development.","ISSN":"0770-3198","note":"PMID: 15801071","shortTitle":"Association between systemic sclerosis and breast cancer","journalAbbreviation":"Clin. Rheumatol.","language":"eng","author":[{"family":"Launay","given":"David"},{"family":"Le Berre","given":"Rozenn"},{"family":"Hatron","given":"Pierre-Yves"},{"family":"Peyrat","given":"Jean-Philippe"},{"family":"Hachulla","given":"Eric"},{"family":"Devulder","given":"Bernard"},{"family":"Hebbar","given":"Mohamed"}],"issued":{"date-parts":[["2004",12]]}}},{"id":1821,"uris":["http://zotero.org/users/188152/items/WWQBSKYH"],"uri":["http://zotero.org/users/188152/items/WWQBSKYH"],"itemData":{"id":1821,"type":"article-journal","title":"Paraneoplastic systemic sclerosis: About 3 cases and review of literature","container-title":"Journal Des Maladies Vasculaires","page":"365-370","volume":"41","issue":"6","source":"PubMed","abstract":"OBJECTIVE: Association between cancer and systemic sclerosis (SSc) has been described. However, paraneoplastic SSc is not well known. The aim of this article is to describe cases of paraneoplastic systemic sclerosis and to compare them to other cases of the literature, to find characteristics that can make suspect a paraneoplastic mechanism when SSc is diagnosed.\nMETHODS: We retrospectively analyzed patients, in our department who, over the last 15 years, presented with Raynaud's phenomenon with a diagnosis of SSc (including cancer during the period of SSc). Treatment of cancer had to be concomitted with an improvement of sclerosis and/or negativation of antinuclear antibodies. Review analysis of other cases was made with Pubmed.\nRESULTS: Three patients responded to the criteria. Two of them had an ovarian cancer with peritoneal carcinomatosis and a concomitted SSc. One had a colon cancer with an ovarian metastasis diagnosed 1 year before SSc. None of them had anti-ENA antibody. One had a normal capillaroscopy. After treatment of cancer, all of them had an improvement of sclerosis and a negativation of antinuclear antibodies.\nCONCLUSION: We believe that physicians should be aware of paraneoplastic SSc when presentation of SSc is atypical: no anti-ENA (anti-SCl70 or anti-centromere) or normal capillaroscopy, in particular gynecologic cancer in women.","DOI":"10.1016/j.jmv.2016.07.001","ISSN":"2214-8116","note":"PMID: 27751625","shortTitle":"Paraneoplastic systemic sclerosis","journalAbbreviation":"J Mal Vasc","language":"eng","author":[{"family":"Monfort","given":"J.-B."},{"family":"Lazareth","given":"I."},{"family":"Priollet","given":"P."}],"issued":{"date-parts":[["2016",12]]}}},{"id":1828,"uris":["http://zotero.org/users/188152/items/8BRQHJHC"],"uri":["http://zotero.org/users/188152/items/8BRQHJHC"],"itemData":{"id":1828,"type":"article-journal","title":"Factors associated with underlying malignancy in a retrospective cohort of 121 patients with dermatomyositis","container-title":"Medicine","page":"91-97","volume":"88","issue":"2","source":"PubMed","abstract":"Demographic, clinical, and laboratory features that predict underlying malignancy in patients with dermatomyositis (DM) are poorly known. We conducted a retrospective study in all adult patients with a definite (n = 75) or probable (n = 32) diagnosis of DM according to Bohan and Peter criteria or with amyopathic DM (n = 14) who were referred to 2 departments during a 13-year period. The diagnosis of malignancy-associated DM was retained if DM occurred in a context of recently diagnosed malignancy or if a malignancy was diagnosed during the 5 years following the diagnosis of DM. The Kaplan-Meier method was used to assess the cumulative incidence rates of underlying malignancy during the first 5 years of DM. Factors associated with malignancy in patients with DM were identified by Cox proportional hazards models. During the study period, 121 patients fulfilled the inclusion criteria (median age, 52 yr; range, 19-77 yr; women: 70%). For 29 of them, the diagnosis of malignancy-associated DM was retained. The cumulative incidence rate of malignancy was 21 +/- 4% and 28 +/- 5%, 1 year and 5 years after the diagnosis of DM, respectively. The median duration of follow-up of the 92 patients with no malignancy diagnosed was 36 months (range, 1-140 mo). In multivariate analysis, independent factors associated with an underlying malignancy in patients with DM were an age at diagnosis &gt;52 years (hazard ratio [HR], 7.24; 95% confidence interval [CI], 2.35-22.31), a rapid onset of skin and/or muscular symptoms (HR, 3.11; 95% CI, 1.07-9.02), the presence of skin necrosis (HR, 3.84; 95% CI, 1.00-14.85) or periungual erythema (HR, 3.93; 95% CI, 1.16-13.24), and a low baseline level of complement factor C4 (HR, 2.74; 95% CI, 1.11-6.75). Lastly, low baseline lymphocyte count (&lt;1500/mm(3)) was a protective factor of malignancy (HR, 0.33; 95% CI, 0.14-0.80). Taken together, these data may help physicians focus on a group of patients who might benefit from extensive evaluation for malignancy.","DOI":"10.1097/MD.0b013e31819da352","ISSN":"1536-5964","note":"PMID: 19282699","journalAbbreviation":"Medicine (Baltimore)","language":"eng","author":[{"family":"Fardet","given":"Laurence"},{"family":"Dupuy","given":"Alain"},{"family":"Gain","given":"Murielle"},{"family":"Kettaneh","given":"Adrien"},{"family":"Chérin","given":"Patrick"},{"family":"Bachelez","given":"Hervé"},{"family":"Dubertret","given":"Louis"},{"family":"Lebbe","given":"Celeste"},{"family":"Morel","given":"Patrice"},{"family":"Rybojad","given":"Michel"}],"issued":{"date-parts":[["2009",3]]}}}],"schema":"https://github.com/citation-style-language/schema/raw/master/csl-citation.json"} </w:instrText>
      </w:r>
      <w:r w:rsidR="007C2E02">
        <w:rPr>
          <w:lang w:val="fr-FR"/>
        </w:rPr>
        <w:fldChar w:fldCharType="separate"/>
      </w:r>
      <w:r w:rsidR="007C2E02" w:rsidRPr="007C2E02">
        <w:t>[4–10]</w:t>
      </w:r>
      <w:r w:rsidR="007C2E02">
        <w:rPr>
          <w:lang w:val="fr-FR"/>
        </w:rPr>
        <w:fldChar w:fldCharType="end"/>
      </w:r>
      <w:r w:rsidR="00E05411">
        <w:rPr>
          <w:lang w:val="fr-FR"/>
        </w:rPr>
        <w:t xml:space="preserve">. </w:t>
      </w:r>
      <w:r w:rsidR="00154026">
        <w:rPr>
          <w:lang w:val="fr-FR"/>
        </w:rPr>
        <w:t>Le risque de survenue d’un syndrome paranéoplasique chez les patients traités par anti-PD(L</w:t>
      </w:r>
      <w:proofErr w:type="gramStart"/>
      <w:r w:rsidR="00154026">
        <w:rPr>
          <w:lang w:val="fr-FR"/>
        </w:rPr>
        <w:t>)1</w:t>
      </w:r>
      <w:proofErr w:type="gramEnd"/>
      <w:r w:rsidR="00154026">
        <w:rPr>
          <w:lang w:val="fr-FR"/>
        </w:rPr>
        <w:t xml:space="preserve"> est inconnu. La tolérance des anti-PD(L</w:t>
      </w:r>
      <w:proofErr w:type="gramStart"/>
      <w:r w:rsidR="00154026">
        <w:rPr>
          <w:lang w:val="fr-FR"/>
        </w:rPr>
        <w:t>)1</w:t>
      </w:r>
      <w:proofErr w:type="gramEnd"/>
      <w:r w:rsidR="00154026">
        <w:rPr>
          <w:lang w:val="fr-FR"/>
        </w:rPr>
        <w:t xml:space="preserve"> chez les patients ayant un </w:t>
      </w:r>
      <w:r w:rsidR="001044A3">
        <w:rPr>
          <w:lang w:val="fr-FR"/>
        </w:rPr>
        <w:t xml:space="preserve">antécédent de </w:t>
      </w:r>
      <w:r w:rsidR="00154026">
        <w:rPr>
          <w:lang w:val="fr-FR"/>
        </w:rPr>
        <w:t xml:space="preserve">syndrome paranéoplasique est également inconnue. </w:t>
      </w:r>
      <w:r w:rsidR="007C2E02">
        <w:rPr>
          <w:lang w:val="fr-FR"/>
        </w:rPr>
        <w:t xml:space="preserve">L’étude PARAP-1 basée sur le réseau </w:t>
      </w:r>
      <w:r w:rsidR="001D272B">
        <w:rPr>
          <w:lang w:val="fr-FR"/>
        </w:rPr>
        <w:t xml:space="preserve">REISAMIC de Gustave Roussy, </w:t>
      </w:r>
      <w:r w:rsidR="007C2E02">
        <w:rPr>
          <w:lang w:val="fr-FR"/>
        </w:rPr>
        <w:t>proposera d’évaluer en vie réelle la tolérance des anti-PD(L</w:t>
      </w:r>
      <w:proofErr w:type="gramStart"/>
      <w:r w:rsidR="007C2E02">
        <w:rPr>
          <w:lang w:val="fr-FR"/>
        </w:rPr>
        <w:t>)1</w:t>
      </w:r>
      <w:proofErr w:type="gramEnd"/>
      <w:r w:rsidR="007C2E02">
        <w:rPr>
          <w:lang w:val="fr-FR"/>
        </w:rPr>
        <w:t xml:space="preserve"> des patients ayant un antécédent de syndrome paranéoplasique. L’étude</w:t>
      </w:r>
      <w:r w:rsidR="00154026">
        <w:rPr>
          <w:lang w:val="fr-FR"/>
        </w:rPr>
        <w:t xml:space="preserve"> </w:t>
      </w:r>
      <w:r w:rsidR="001044A3">
        <w:rPr>
          <w:lang w:val="fr-FR"/>
        </w:rPr>
        <w:t xml:space="preserve">PARAP-1 </w:t>
      </w:r>
      <w:r w:rsidR="00154026">
        <w:rPr>
          <w:lang w:val="fr-FR"/>
        </w:rPr>
        <w:t>propose</w:t>
      </w:r>
      <w:r w:rsidR="007C2E02">
        <w:rPr>
          <w:lang w:val="fr-FR"/>
        </w:rPr>
        <w:t>ra également</w:t>
      </w:r>
      <w:r w:rsidR="00154026">
        <w:rPr>
          <w:lang w:val="fr-FR"/>
        </w:rPr>
        <w:t xml:space="preserve"> de recueillir </w:t>
      </w:r>
      <w:r w:rsidR="001044A3">
        <w:rPr>
          <w:lang w:val="fr-FR"/>
        </w:rPr>
        <w:t xml:space="preserve">rétrospectivement puis prospectivement </w:t>
      </w:r>
      <w:r w:rsidR="007C2E02">
        <w:rPr>
          <w:lang w:val="fr-FR"/>
        </w:rPr>
        <w:t xml:space="preserve">tous </w:t>
      </w:r>
      <w:r w:rsidR="00154026">
        <w:rPr>
          <w:lang w:val="fr-FR"/>
        </w:rPr>
        <w:t>les cas de syndrome paranéoplasique surve</w:t>
      </w:r>
      <w:r w:rsidR="001D272B">
        <w:rPr>
          <w:lang w:val="fr-FR"/>
        </w:rPr>
        <w:t>nus sous traitement anti-PD(L</w:t>
      </w:r>
      <w:proofErr w:type="gramStart"/>
      <w:r w:rsidR="001D272B">
        <w:rPr>
          <w:lang w:val="fr-FR"/>
        </w:rPr>
        <w:t>)1</w:t>
      </w:r>
      <w:proofErr w:type="gramEnd"/>
      <w:r w:rsidR="007C2E02">
        <w:rPr>
          <w:lang w:val="fr-FR"/>
        </w:rPr>
        <w:t xml:space="preserve">. Cette étude devrait permettre de mieux </w:t>
      </w:r>
      <w:r w:rsidR="00154026">
        <w:rPr>
          <w:lang w:val="fr-FR"/>
        </w:rPr>
        <w:t>évaluer la tolérance des traitements anti-PD(L)1 chez les patients ayant préalablement un syndrome paranéoplasique</w:t>
      </w:r>
      <w:r w:rsidR="007C2E02">
        <w:rPr>
          <w:lang w:val="fr-FR"/>
        </w:rPr>
        <w:t>, et d’améliorer les pratiques cliniques et les guides de gestion des toxicités immunologiques.</w:t>
      </w:r>
    </w:p>
    <w:p w14:paraId="3CF2D8B6" w14:textId="77777777" w:rsidR="001044A3" w:rsidRDefault="001044A3" w:rsidP="001D272B">
      <w:pPr>
        <w:jc w:val="both"/>
        <w:rPr>
          <w:rStyle w:val="st"/>
          <w:lang w:val="fr-FR"/>
        </w:rPr>
      </w:pPr>
    </w:p>
    <w:p w14:paraId="219FFAB4" w14:textId="77777777" w:rsidR="001044A3" w:rsidRPr="00976978" w:rsidRDefault="001044A3" w:rsidP="001D272B">
      <w:pPr>
        <w:jc w:val="both"/>
        <w:rPr>
          <w:rStyle w:val="st"/>
          <w:b/>
          <w:i/>
          <w:lang w:val="fr-FR"/>
        </w:rPr>
      </w:pPr>
      <w:r w:rsidRPr="00976978">
        <w:rPr>
          <w:rStyle w:val="st"/>
          <w:b/>
          <w:i/>
          <w:lang w:val="fr-FR"/>
        </w:rPr>
        <w:t>Références.</w:t>
      </w:r>
    </w:p>
    <w:p w14:paraId="0F20CE24" w14:textId="77777777" w:rsidR="007C2E02" w:rsidRPr="007C2E02" w:rsidRDefault="001044A3" w:rsidP="007C2E02">
      <w:pPr>
        <w:pStyle w:val="Bibliographie"/>
      </w:pPr>
      <w:r>
        <w:rPr>
          <w:b/>
          <w:color w:val="0000FF"/>
          <w:lang w:val="fr-FR"/>
        </w:rPr>
        <w:fldChar w:fldCharType="begin"/>
      </w:r>
      <w:r w:rsidR="00CD463B">
        <w:rPr>
          <w:b/>
          <w:color w:val="0000FF"/>
          <w:lang w:val="fr-FR"/>
        </w:rPr>
        <w:instrText xml:space="preserve"> ADDIN ZOTERO_BIBL {"uncited":[],"omitted":[],"custom":[]} CSL_BIBLIOGRAPHY </w:instrText>
      </w:r>
      <w:r>
        <w:rPr>
          <w:b/>
          <w:color w:val="0000FF"/>
          <w:lang w:val="fr-FR"/>
        </w:rPr>
        <w:fldChar w:fldCharType="separate"/>
      </w:r>
      <w:r w:rsidR="007C2E02" w:rsidRPr="007C2E02">
        <w:rPr>
          <w:lang w:val="fr-FR"/>
        </w:rPr>
        <w:t xml:space="preserve">1. </w:t>
      </w:r>
      <w:r w:rsidR="007C2E02" w:rsidRPr="007C2E02">
        <w:rPr>
          <w:lang w:val="fr-FR"/>
        </w:rPr>
        <w:tab/>
        <w:t xml:space="preserve">Champiat S, Lambotte O, Barreau E et al. </w:t>
      </w:r>
      <w:r w:rsidR="007C2E02" w:rsidRPr="007C2E02">
        <w:t>Management of immune checkpoint blockade dysimmune toxicities: a collaborative position paper. Ann. Oncol. Off. J. Eur. Soc. Med. Oncol. ESMO 2016; 27(4):559–574.</w:t>
      </w:r>
    </w:p>
    <w:p w14:paraId="0F9CFF38" w14:textId="77777777" w:rsidR="007C2E02" w:rsidRPr="007C2E02" w:rsidRDefault="007C2E02" w:rsidP="007C2E02">
      <w:pPr>
        <w:pStyle w:val="Bibliographie"/>
      </w:pPr>
      <w:r w:rsidRPr="007C2E02">
        <w:rPr>
          <w:lang w:val="fr-FR"/>
        </w:rPr>
        <w:t xml:space="preserve">2. </w:t>
      </w:r>
      <w:r w:rsidRPr="007C2E02">
        <w:rPr>
          <w:lang w:val="fr-FR"/>
        </w:rPr>
        <w:tab/>
        <w:t xml:space="preserve">Danlos F-X, Voisin A-L, Dyevre V et al. </w:t>
      </w:r>
      <w:r w:rsidRPr="007C2E02">
        <w:t>Safety and efficacy of anti-programmed death 1 antibodies in patients with cancer and pre-existing autoimmune or inflammatory disease. Eur. J. Cancer Oxf. Engl. 1990 2018; 91:21–29.</w:t>
      </w:r>
    </w:p>
    <w:p w14:paraId="406B5C72" w14:textId="77777777" w:rsidR="007C2E02" w:rsidRPr="007C2E02" w:rsidRDefault="007C2E02" w:rsidP="007C2E02">
      <w:pPr>
        <w:pStyle w:val="Bibliographie"/>
      </w:pPr>
      <w:r w:rsidRPr="007C2E02">
        <w:t xml:space="preserve">3. </w:t>
      </w:r>
      <w:r w:rsidRPr="007C2E02">
        <w:tab/>
        <w:t>Michot JM, Bigenwald C, Champiat S et al. Immune-related adverse events with immune checkpoint blockade: a comprehensive review. Eur. J. Cancer Oxf. Engl. 1990 2016; 54:139–148.</w:t>
      </w:r>
    </w:p>
    <w:p w14:paraId="348FFBD1" w14:textId="77777777" w:rsidR="007C2E02" w:rsidRPr="007C2E02" w:rsidRDefault="007C2E02" w:rsidP="007C2E02">
      <w:pPr>
        <w:pStyle w:val="Bibliographie"/>
      </w:pPr>
      <w:r w:rsidRPr="007C2E02">
        <w:t xml:space="preserve">4. </w:t>
      </w:r>
      <w:r w:rsidRPr="007C2E02">
        <w:tab/>
        <w:t>Bacchetta J, Juillard L, Cochat P, Droz J-P. Paraneoplastic glomerular diseases and malignancies. Crit. Rev. Oncol. Hematol. 2009; 70(1):39–58.</w:t>
      </w:r>
    </w:p>
    <w:p w14:paraId="3540CF3C" w14:textId="77777777" w:rsidR="007C2E02" w:rsidRPr="007C2E02" w:rsidRDefault="007C2E02" w:rsidP="007C2E02">
      <w:pPr>
        <w:pStyle w:val="Bibliographie"/>
      </w:pPr>
      <w:r w:rsidRPr="007C2E02">
        <w:lastRenderedPageBreak/>
        <w:t xml:space="preserve">5. </w:t>
      </w:r>
      <w:r w:rsidRPr="007C2E02">
        <w:tab/>
        <w:t>Giometto B, Grisold W, Vitaliani R et al. Paraneoplastic neurologic syndrome in the PNS Euronetwork database: a European study from 20 centers. Arch. Neurol. 2010; 67(3):330–335.</w:t>
      </w:r>
    </w:p>
    <w:p w14:paraId="765AF28D" w14:textId="77777777" w:rsidR="007C2E02" w:rsidRPr="005804CB" w:rsidRDefault="007C2E02" w:rsidP="007C2E02">
      <w:pPr>
        <w:pStyle w:val="Bibliographie"/>
        <w:rPr>
          <w:lang w:val="fr-FR"/>
        </w:rPr>
      </w:pPr>
      <w:r w:rsidRPr="007C2E02">
        <w:t xml:space="preserve">6. </w:t>
      </w:r>
      <w:r w:rsidRPr="007C2E02">
        <w:tab/>
        <w:t xml:space="preserve">Manger B, Schett G. Paraneoplastic syndromes in rheumatology. </w:t>
      </w:r>
      <w:r w:rsidRPr="005804CB">
        <w:rPr>
          <w:lang w:val="fr-FR"/>
        </w:rPr>
        <w:t>Nat. Rev. Rheumatol. 2014; 10(11):662–670.</w:t>
      </w:r>
    </w:p>
    <w:p w14:paraId="3E10924B" w14:textId="77777777" w:rsidR="007C2E02" w:rsidRPr="007C2E02" w:rsidRDefault="007C2E02" w:rsidP="007C2E02">
      <w:pPr>
        <w:pStyle w:val="Bibliographie"/>
        <w:rPr>
          <w:lang w:val="fr-FR"/>
        </w:rPr>
      </w:pPr>
      <w:r w:rsidRPr="005804CB">
        <w:rPr>
          <w:lang w:val="fr-FR"/>
        </w:rPr>
        <w:t xml:space="preserve">7. </w:t>
      </w:r>
      <w:r w:rsidRPr="005804CB">
        <w:rPr>
          <w:lang w:val="fr-FR"/>
        </w:rPr>
        <w:tab/>
      </w:r>
      <w:r w:rsidRPr="007C2E02">
        <w:rPr>
          <w:lang w:val="fr-FR"/>
        </w:rPr>
        <w:t xml:space="preserve">Solans-Laqué R, Bosch-Gil JA, Pérez-Bocanegra C et al. </w:t>
      </w:r>
      <w:r w:rsidRPr="007C2E02">
        <w:t xml:space="preserve">Paraneoplastic vasculitis in patients with solid tumors: report of 15 cases. </w:t>
      </w:r>
      <w:r w:rsidRPr="005804CB">
        <w:rPr>
          <w:lang w:val="fr-FR"/>
        </w:rPr>
        <w:t xml:space="preserve">J. Rheumatol. </w:t>
      </w:r>
      <w:r w:rsidRPr="007C2E02">
        <w:rPr>
          <w:lang w:val="fr-FR"/>
        </w:rPr>
        <w:t>2008; 35(2):294–304.</w:t>
      </w:r>
    </w:p>
    <w:p w14:paraId="0C45B9AD" w14:textId="77777777" w:rsidR="007C2E02" w:rsidRPr="007C2E02" w:rsidRDefault="007C2E02" w:rsidP="007C2E02">
      <w:pPr>
        <w:pStyle w:val="Bibliographie"/>
      </w:pPr>
      <w:r w:rsidRPr="007C2E02">
        <w:rPr>
          <w:lang w:val="fr-FR"/>
        </w:rPr>
        <w:t xml:space="preserve">8. </w:t>
      </w:r>
      <w:r w:rsidRPr="007C2E02">
        <w:rPr>
          <w:lang w:val="fr-FR"/>
        </w:rPr>
        <w:tab/>
        <w:t xml:space="preserve">Launay D, Le Berre R, Hatron P-Y et al. </w:t>
      </w:r>
      <w:r w:rsidRPr="007C2E02">
        <w:t>Association between systemic sclerosis and breast cancer: eight new cases and review of the literature. Clin. Rheumatol. 2004; 23(6):516–522.</w:t>
      </w:r>
    </w:p>
    <w:p w14:paraId="00FEE161" w14:textId="77777777" w:rsidR="007C2E02" w:rsidRPr="007C2E02" w:rsidRDefault="007C2E02" w:rsidP="007C2E02">
      <w:pPr>
        <w:pStyle w:val="Bibliographie"/>
        <w:rPr>
          <w:lang w:val="fr-FR"/>
        </w:rPr>
      </w:pPr>
      <w:r w:rsidRPr="007C2E02">
        <w:t xml:space="preserve">9. </w:t>
      </w:r>
      <w:r w:rsidRPr="007C2E02">
        <w:tab/>
        <w:t xml:space="preserve">Monfort J-B, Lazareth I, Priollet P. Paraneoplastic systemic sclerosis: About 3 cases and review of literature. </w:t>
      </w:r>
      <w:r w:rsidRPr="007C2E02">
        <w:rPr>
          <w:lang w:val="fr-FR"/>
        </w:rPr>
        <w:t>J. Mal. Vasc. 2016; 41(6):365–370.</w:t>
      </w:r>
    </w:p>
    <w:p w14:paraId="6FBE109B" w14:textId="77777777" w:rsidR="007C2E02" w:rsidRPr="007C2E02" w:rsidRDefault="007C2E02" w:rsidP="007C2E02">
      <w:pPr>
        <w:pStyle w:val="Bibliographie"/>
      </w:pPr>
      <w:r w:rsidRPr="007C2E02">
        <w:rPr>
          <w:lang w:val="fr-FR"/>
        </w:rPr>
        <w:t xml:space="preserve">10. </w:t>
      </w:r>
      <w:r w:rsidRPr="007C2E02">
        <w:rPr>
          <w:lang w:val="fr-FR"/>
        </w:rPr>
        <w:tab/>
        <w:t xml:space="preserve">Fardet L, Dupuy A, Gain M et al. </w:t>
      </w:r>
      <w:r w:rsidRPr="007C2E02">
        <w:t>Factors associated with underlying malignancy in a retrospective cohort of 121 patients with dermatomyositis. Medicine (Baltimore) 2009; 88(2):91–97.</w:t>
      </w:r>
    </w:p>
    <w:p w14:paraId="1881C496" w14:textId="77777777" w:rsidR="007C2E02" w:rsidRPr="008F629D" w:rsidRDefault="007C2E02" w:rsidP="007C2E02">
      <w:pPr>
        <w:pStyle w:val="Bibliographie"/>
        <w:rPr>
          <w:lang w:val="fr-FR"/>
        </w:rPr>
      </w:pPr>
      <w:r w:rsidRPr="007C2E02">
        <w:t xml:space="preserve">11. </w:t>
      </w:r>
      <w:r w:rsidRPr="007C2E02">
        <w:tab/>
        <w:t xml:space="preserve">Curth HO. Classification of acanthosis nigricans. Int. J. Dermatol. </w:t>
      </w:r>
      <w:r w:rsidRPr="008F629D">
        <w:rPr>
          <w:lang w:val="fr-FR"/>
        </w:rPr>
        <w:t>1976; 15(8):592–593.</w:t>
      </w:r>
    </w:p>
    <w:p w14:paraId="0FB78278" w14:textId="77777777" w:rsidR="00961640" w:rsidRPr="008F629D" w:rsidRDefault="001044A3" w:rsidP="00E67561">
      <w:pPr>
        <w:rPr>
          <w:b/>
          <w:color w:val="0000FF"/>
          <w:lang w:val="fr-FR"/>
        </w:rPr>
      </w:pPr>
      <w:r>
        <w:rPr>
          <w:b/>
          <w:color w:val="0000FF"/>
          <w:lang w:val="fr-FR"/>
        </w:rPr>
        <w:fldChar w:fldCharType="end"/>
      </w:r>
    </w:p>
    <w:p w14:paraId="1FC39945" w14:textId="77777777" w:rsidR="00E67561" w:rsidRPr="008F629D" w:rsidRDefault="00E67561" w:rsidP="00E252F8">
      <w:pPr>
        <w:rPr>
          <w:lang w:val="fr-FR"/>
        </w:rPr>
      </w:pPr>
    </w:p>
    <w:p w14:paraId="60751B31" w14:textId="77777777" w:rsidR="00BF2EFE" w:rsidRDefault="00A0407A" w:rsidP="002607DF">
      <w:pPr>
        <w:rPr>
          <w:b/>
          <w:color w:val="0000FF"/>
          <w:u w:val="single"/>
          <w:lang w:val="fr-FR"/>
        </w:rPr>
      </w:pPr>
      <w:r w:rsidRPr="00E252F8">
        <w:rPr>
          <w:b/>
          <w:color w:val="0000FF"/>
          <w:u w:val="single"/>
          <w:lang w:val="fr-FR"/>
        </w:rPr>
        <w:t xml:space="preserve">Date de </w:t>
      </w:r>
      <w:r w:rsidR="00504B0A">
        <w:rPr>
          <w:b/>
          <w:color w:val="0000FF"/>
          <w:u w:val="single"/>
          <w:lang w:val="fr-FR"/>
        </w:rPr>
        <w:t>démarrage prévisionnel du projet</w:t>
      </w:r>
      <w:r w:rsidR="00381FEC" w:rsidRPr="00E252F8">
        <w:rPr>
          <w:b/>
          <w:color w:val="0000FF"/>
          <w:u w:val="single"/>
          <w:lang w:val="fr-FR"/>
        </w:rPr>
        <w:t> </w:t>
      </w:r>
      <w:r w:rsidR="00504B0A">
        <w:rPr>
          <w:b/>
          <w:color w:val="0000FF"/>
          <w:u w:val="single"/>
          <w:lang w:val="fr-FR"/>
        </w:rPr>
        <w:t xml:space="preserve">/ Durée totale </w:t>
      </w:r>
      <w:r w:rsidR="00381FEC" w:rsidRPr="00E252F8">
        <w:rPr>
          <w:b/>
          <w:color w:val="0000FF"/>
          <w:u w:val="single"/>
          <w:lang w:val="fr-FR"/>
        </w:rPr>
        <w:t>:</w:t>
      </w:r>
      <w:r w:rsidR="00515AC4" w:rsidRPr="00515AC4">
        <w:rPr>
          <w:b/>
          <w:color w:val="0000FF"/>
          <w:lang w:val="fr-FR"/>
        </w:rPr>
        <w:t xml:space="preserve"> </w:t>
      </w:r>
      <w:r w:rsidR="00515AC4" w:rsidRPr="00515AC4">
        <w:rPr>
          <w:lang w:val="fr-FR"/>
        </w:rPr>
        <w:t>démarrage juin 2018</w:t>
      </w:r>
      <w:r w:rsidR="008F629D">
        <w:rPr>
          <w:lang w:val="fr-FR"/>
        </w:rPr>
        <w:t xml:space="preserve"> (congrès Lyon SNFMI 28/06/2018)</w:t>
      </w:r>
    </w:p>
    <w:p w14:paraId="4D553EF8" w14:textId="77777777" w:rsidR="00515AC4" w:rsidRPr="008F629D" w:rsidRDefault="00515AC4" w:rsidP="00515AC4">
      <w:pPr>
        <w:numPr>
          <w:ilvl w:val="0"/>
          <w:numId w:val="11"/>
        </w:numPr>
        <w:rPr>
          <w:lang w:val="fr-FR"/>
        </w:rPr>
      </w:pPr>
      <w:r w:rsidRPr="008F629D">
        <w:rPr>
          <w:lang w:val="fr-FR"/>
        </w:rPr>
        <w:t xml:space="preserve">Rétrospectif sur </w:t>
      </w:r>
      <w:r w:rsidR="00D81EEF" w:rsidRPr="008F629D">
        <w:rPr>
          <w:lang w:val="fr-FR"/>
        </w:rPr>
        <w:t>période juin</w:t>
      </w:r>
      <w:r w:rsidRPr="008F629D">
        <w:rPr>
          <w:lang w:val="fr-FR"/>
        </w:rPr>
        <w:t xml:space="preserve"> 2013 – juin 2018 </w:t>
      </w:r>
    </w:p>
    <w:p w14:paraId="5F974C2A" w14:textId="5F328CDF" w:rsidR="00961640" w:rsidRPr="008F629D" w:rsidRDefault="4A5E5E20" w:rsidP="4A5E5E20">
      <w:pPr>
        <w:numPr>
          <w:ilvl w:val="0"/>
          <w:numId w:val="11"/>
        </w:numPr>
        <w:rPr>
          <w:lang w:val="fr-FR"/>
        </w:rPr>
      </w:pPr>
      <w:r w:rsidRPr="4A5E5E20">
        <w:rPr>
          <w:lang w:val="fr-FR"/>
        </w:rPr>
        <w:t>Prospectif sur période juin 2018 - juin 2020</w:t>
      </w:r>
    </w:p>
    <w:p w14:paraId="0562CB0E" w14:textId="77777777" w:rsidR="00C150CE" w:rsidRDefault="00C150CE" w:rsidP="002607DF">
      <w:pPr>
        <w:rPr>
          <w:b/>
          <w:color w:val="0000FF"/>
          <w:u w:val="single"/>
          <w:lang w:val="fr-FR"/>
        </w:rPr>
      </w:pPr>
    </w:p>
    <w:p w14:paraId="0E8C6040" w14:textId="77777777" w:rsidR="00C150CE" w:rsidRDefault="00C150CE" w:rsidP="002607DF">
      <w:pPr>
        <w:rPr>
          <w:b/>
          <w:color w:val="0000FF"/>
          <w:u w:val="single"/>
          <w:lang w:val="fr-FR"/>
        </w:rPr>
      </w:pPr>
      <w:r>
        <w:rPr>
          <w:b/>
          <w:color w:val="0000FF"/>
          <w:u w:val="single"/>
          <w:lang w:val="fr-FR"/>
        </w:rPr>
        <w:t xml:space="preserve">Critères d’inclusion </w:t>
      </w:r>
    </w:p>
    <w:p w14:paraId="7039AF44" w14:textId="0BC69852" w:rsidR="00C150CE" w:rsidRDefault="00515AC4" w:rsidP="00C150CE">
      <w:pPr>
        <w:numPr>
          <w:ilvl w:val="0"/>
          <w:numId w:val="6"/>
        </w:numPr>
        <w:rPr>
          <w:lang w:val="fr-FR"/>
        </w:rPr>
      </w:pPr>
      <w:r>
        <w:rPr>
          <w:lang w:val="fr-FR"/>
        </w:rPr>
        <w:t xml:space="preserve">Patient adulte ≥ 18 ans et </w:t>
      </w:r>
      <w:r w:rsidR="00C150CE">
        <w:rPr>
          <w:lang w:val="fr-FR"/>
        </w:rPr>
        <w:t>traité</w:t>
      </w:r>
      <w:r>
        <w:rPr>
          <w:lang w:val="fr-FR"/>
        </w:rPr>
        <w:t xml:space="preserve"> pour une</w:t>
      </w:r>
      <w:r w:rsidR="001044A3">
        <w:rPr>
          <w:lang w:val="fr-FR"/>
        </w:rPr>
        <w:t xml:space="preserve"> indication</w:t>
      </w:r>
      <w:r w:rsidR="00092142">
        <w:rPr>
          <w:lang w:val="fr-FR"/>
        </w:rPr>
        <w:t xml:space="preserve"> oncologique ou</w:t>
      </w:r>
      <w:r w:rsidR="001044A3">
        <w:rPr>
          <w:lang w:val="fr-FR"/>
        </w:rPr>
        <w:t xml:space="preserve"> hématologique</w:t>
      </w:r>
      <w:r>
        <w:rPr>
          <w:lang w:val="fr-FR"/>
        </w:rPr>
        <w:t xml:space="preserve"> par </w:t>
      </w:r>
      <w:r w:rsidR="001044A3">
        <w:rPr>
          <w:lang w:val="fr-FR"/>
        </w:rPr>
        <w:t xml:space="preserve">une immunothérapie </w:t>
      </w:r>
      <w:r>
        <w:rPr>
          <w:lang w:val="fr-FR"/>
        </w:rPr>
        <w:t>anti-PD(L</w:t>
      </w:r>
      <w:proofErr w:type="gramStart"/>
      <w:r>
        <w:rPr>
          <w:lang w:val="fr-FR"/>
        </w:rPr>
        <w:t>)1</w:t>
      </w:r>
      <w:proofErr w:type="gramEnd"/>
      <w:r w:rsidR="00C150CE">
        <w:rPr>
          <w:lang w:val="fr-FR"/>
        </w:rPr>
        <w:t xml:space="preserve"> sur la période </w:t>
      </w:r>
      <w:r>
        <w:rPr>
          <w:lang w:val="fr-FR"/>
        </w:rPr>
        <w:t xml:space="preserve">juin </w:t>
      </w:r>
      <w:r w:rsidR="00C150CE">
        <w:rPr>
          <w:lang w:val="fr-FR"/>
        </w:rPr>
        <w:t xml:space="preserve">2013 – </w:t>
      </w:r>
      <w:r>
        <w:rPr>
          <w:lang w:val="fr-FR"/>
        </w:rPr>
        <w:t xml:space="preserve">juin </w:t>
      </w:r>
      <w:r w:rsidR="00C150CE">
        <w:rPr>
          <w:lang w:val="fr-FR"/>
        </w:rPr>
        <w:t>20</w:t>
      </w:r>
      <w:r w:rsidR="005804CB">
        <w:rPr>
          <w:lang w:val="fr-FR"/>
        </w:rPr>
        <w:t>21</w:t>
      </w:r>
      <w:r w:rsidR="00C150CE">
        <w:rPr>
          <w:lang w:val="fr-FR"/>
        </w:rPr>
        <w:t xml:space="preserve"> </w:t>
      </w:r>
      <w:r>
        <w:rPr>
          <w:lang w:val="fr-FR"/>
        </w:rPr>
        <w:t xml:space="preserve">et </w:t>
      </w:r>
      <w:r w:rsidR="00C150CE">
        <w:rPr>
          <w:lang w:val="fr-FR"/>
        </w:rPr>
        <w:t>ayant :</w:t>
      </w:r>
    </w:p>
    <w:p w14:paraId="4B1BE083" w14:textId="77777777" w:rsidR="00C150CE" w:rsidRPr="00C150CE" w:rsidRDefault="001044A3" w:rsidP="00C150CE">
      <w:pPr>
        <w:numPr>
          <w:ilvl w:val="1"/>
          <w:numId w:val="6"/>
        </w:numPr>
        <w:rPr>
          <w:lang w:val="fr-FR"/>
        </w:rPr>
      </w:pPr>
      <w:r>
        <w:rPr>
          <w:lang w:val="fr-FR"/>
        </w:rPr>
        <w:t xml:space="preserve">un </w:t>
      </w:r>
      <w:r w:rsidR="00C150CE">
        <w:rPr>
          <w:lang w:val="fr-FR"/>
        </w:rPr>
        <w:t xml:space="preserve">antécédent </w:t>
      </w:r>
      <w:r>
        <w:rPr>
          <w:lang w:val="fr-FR"/>
        </w:rPr>
        <w:t>(</w:t>
      </w:r>
      <w:r w:rsidR="00515AC4">
        <w:rPr>
          <w:lang w:val="fr-FR"/>
        </w:rPr>
        <w:t>actif ou inactif</w:t>
      </w:r>
      <w:r>
        <w:rPr>
          <w:lang w:val="fr-FR"/>
        </w:rPr>
        <w:t>)</w:t>
      </w:r>
      <w:r w:rsidR="00515AC4">
        <w:rPr>
          <w:lang w:val="fr-FR"/>
        </w:rPr>
        <w:t xml:space="preserve"> </w:t>
      </w:r>
      <w:r w:rsidR="00C150CE">
        <w:rPr>
          <w:lang w:val="fr-FR"/>
        </w:rPr>
        <w:t>de syndrome paranéoplasique</w:t>
      </w:r>
      <w:r w:rsidR="00515AC4">
        <w:rPr>
          <w:lang w:val="fr-FR"/>
        </w:rPr>
        <w:t>,</w:t>
      </w:r>
      <w:r w:rsidR="00107BF0">
        <w:rPr>
          <w:lang w:val="fr-FR"/>
        </w:rPr>
        <w:t xml:space="preserve"> comme défini ci-</w:t>
      </w:r>
      <w:r w:rsidR="00D81EEF">
        <w:rPr>
          <w:lang w:val="fr-FR"/>
        </w:rPr>
        <w:t>dessous (</w:t>
      </w:r>
      <w:r w:rsidR="00107BF0">
        <w:rPr>
          <w:lang w:val="fr-FR"/>
        </w:rPr>
        <w:t>1)</w:t>
      </w:r>
    </w:p>
    <w:p w14:paraId="6B84F4EB" w14:textId="77777777" w:rsidR="00C150CE" w:rsidRDefault="001044A3" w:rsidP="00C150CE">
      <w:pPr>
        <w:numPr>
          <w:ilvl w:val="1"/>
          <w:numId w:val="6"/>
        </w:numPr>
        <w:rPr>
          <w:lang w:val="fr-FR"/>
        </w:rPr>
      </w:pPr>
      <w:r>
        <w:rPr>
          <w:i/>
          <w:lang w:val="fr-FR"/>
        </w:rPr>
        <w:t>o</w:t>
      </w:r>
      <w:r w:rsidRPr="001044A3">
        <w:rPr>
          <w:i/>
          <w:lang w:val="fr-FR"/>
        </w:rPr>
        <w:t xml:space="preserve">u </w:t>
      </w:r>
      <w:r>
        <w:rPr>
          <w:lang w:val="fr-FR"/>
        </w:rPr>
        <w:t>développé</w:t>
      </w:r>
      <w:r w:rsidR="00C150CE">
        <w:rPr>
          <w:lang w:val="fr-FR"/>
        </w:rPr>
        <w:t xml:space="preserve"> un syndrome paranéoplasique</w:t>
      </w:r>
      <w:r w:rsidR="00515AC4">
        <w:rPr>
          <w:lang w:val="fr-FR"/>
        </w:rPr>
        <w:t>,</w:t>
      </w:r>
      <w:r w:rsidR="00C150CE">
        <w:rPr>
          <w:lang w:val="fr-FR"/>
        </w:rPr>
        <w:t xml:space="preserve"> </w:t>
      </w:r>
      <w:r w:rsidR="00107BF0">
        <w:rPr>
          <w:lang w:val="fr-FR"/>
        </w:rPr>
        <w:t>comme défini ci-</w:t>
      </w:r>
      <w:r w:rsidR="00D81EEF">
        <w:rPr>
          <w:lang w:val="fr-FR"/>
        </w:rPr>
        <w:t>dessous (</w:t>
      </w:r>
      <w:r w:rsidR="00107BF0">
        <w:rPr>
          <w:lang w:val="fr-FR"/>
        </w:rPr>
        <w:t xml:space="preserve">1) </w:t>
      </w:r>
      <w:r w:rsidR="00C150CE">
        <w:rPr>
          <w:lang w:val="fr-FR"/>
        </w:rPr>
        <w:t>en lien avec le traitement anti-PD(L</w:t>
      </w:r>
      <w:proofErr w:type="gramStart"/>
      <w:r w:rsidR="00C150CE">
        <w:rPr>
          <w:lang w:val="fr-FR"/>
        </w:rPr>
        <w:t>)1</w:t>
      </w:r>
      <w:proofErr w:type="gramEnd"/>
    </w:p>
    <w:p w14:paraId="6F03B0E1" w14:textId="77777777" w:rsidR="00515AC4" w:rsidRDefault="00515AC4" w:rsidP="00C150CE">
      <w:pPr>
        <w:numPr>
          <w:ilvl w:val="0"/>
          <w:numId w:val="6"/>
        </w:numPr>
        <w:rPr>
          <w:lang w:val="fr-FR"/>
        </w:rPr>
      </w:pPr>
      <w:r>
        <w:rPr>
          <w:lang w:val="fr-FR"/>
        </w:rPr>
        <w:t>Syndrome paranéoplasique avec symptômes de tou</w:t>
      </w:r>
      <w:r w:rsidR="00092142">
        <w:rPr>
          <w:lang w:val="fr-FR"/>
        </w:rPr>
        <w:t>t</w:t>
      </w:r>
      <w:r>
        <w:rPr>
          <w:lang w:val="fr-FR"/>
        </w:rPr>
        <w:t xml:space="preserve"> grade de sévérité, à partir du moment où l’événement est considéré comme médicalement significatif par les investigateurs. </w:t>
      </w:r>
    </w:p>
    <w:p w14:paraId="4AE87D78" w14:textId="77777777" w:rsidR="00C150CE" w:rsidRDefault="00C150CE" w:rsidP="00C150CE">
      <w:pPr>
        <w:numPr>
          <w:ilvl w:val="0"/>
          <w:numId w:val="6"/>
        </w:numPr>
        <w:rPr>
          <w:lang w:val="fr-FR"/>
        </w:rPr>
      </w:pPr>
      <w:r>
        <w:rPr>
          <w:lang w:val="fr-FR"/>
        </w:rPr>
        <w:t>Pas de critères d’exclusion</w:t>
      </w:r>
      <w:r w:rsidR="001044A3">
        <w:rPr>
          <w:lang w:val="fr-FR"/>
        </w:rPr>
        <w:t>.</w:t>
      </w:r>
    </w:p>
    <w:p w14:paraId="2E11992D" w14:textId="77777777" w:rsidR="001044A3" w:rsidRDefault="001044A3" w:rsidP="00C150CE">
      <w:pPr>
        <w:numPr>
          <w:ilvl w:val="0"/>
          <w:numId w:val="6"/>
        </w:numPr>
        <w:rPr>
          <w:lang w:val="fr-FR"/>
        </w:rPr>
      </w:pPr>
      <w:r>
        <w:rPr>
          <w:lang w:val="fr-FR"/>
        </w:rPr>
        <w:t>Non opposition du patient pour le recueil de données.</w:t>
      </w:r>
    </w:p>
    <w:p w14:paraId="34CE0A41" w14:textId="77777777" w:rsidR="00107BF0" w:rsidRDefault="00107BF0" w:rsidP="00107BF0">
      <w:pPr>
        <w:rPr>
          <w:lang w:val="fr-FR"/>
        </w:rPr>
      </w:pPr>
    </w:p>
    <w:p w14:paraId="4DFC2B68" w14:textId="77777777" w:rsidR="00107BF0" w:rsidRDefault="00107BF0" w:rsidP="0060583C">
      <w:pPr>
        <w:numPr>
          <w:ilvl w:val="0"/>
          <w:numId w:val="12"/>
        </w:numPr>
        <w:rPr>
          <w:lang w:val="fr-FR"/>
        </w:rPr>
      </w:pPr>
      <w:r>
        <w:rPr>
          <w:lang w:val="fr-FR"/>
        </w:rPr>
        <w:t>Définition des syndromes paranéoplasiques</w:t>
      </w:r>
      <w:r w:rsidR="00F27A3D">
        <w:rPr>
          <w:lang w:val="fr-FR"/>
        </w:rPr>
        <w:t xml:space="preserve"> (SPN)</w:t>
      </w:r>
      <w:r>
        <w:rPr>
          <w:lang w:val="fr-FR"/>
        </w:rPr>
        <w:t xml:space="preserve"> pour inclusion dans </w:t>
      </w:r>
      <w:r w:rsidR="001044A3">
        <w:rPr>
          <w:lang w:val="fr-FR"/>
        </w:rPr>
        <w:t>l</w:t>
      </w:r>
      <w:r>
        <w:rPr>
          <w:lang w:val="fr-FR"/>
        </w:rPr>
        <w:t>’étude </w:t>
      </w:r>
      <w:r w:rsidR="0060583C">
        <w:rPr>
          <w:lang w:val="fr-FR"/>
        </w:rPr>
        <w:t>PARAP-1</w:t>
      </w:r>
      <w:r>
        <w:rPr>
          <w:lang w:val="fr-FR"/>
        </w:rPr>
        <w:t>:</w:t>
      </w:r>
      <w:r w:rsidR="00AB5B21">
        <w:rPr>
          <w:lang w:val="fr-FR"/>
        </w:rPr>
        <w:t xml:space="preserve"> syndrome paranéoplasique</w:t>
      </w:r>
      <w:r w:rsidR="0060583C">
        <w:rPr>
          <w:lang w:val="fr-FR"/>
        </w:rPr>
        <w:t>, de tou</w:t>
      </w:r>
      <w:r w:rsidR="00092142">
        <w:rPr>
          <w:lang w:val="fr-FR"/>
        </w:rPr>
        <w:t>t</w:t>
      </w:r>
      <w:r w:rsidR="0060583C">
        <w:rPr>
          <w:lang w:val="fr-FR"/>
        </w:rPr>
        <w:t xml:space="preserve"> grade de sévérité si considéré comme médicalement significatif par les investigateurs, et </w:t>
      </w:r>
      <w:r w:rsidR="00AB5B21">
        <w:rPr>
          <w:lang w:val="fr-FR"/>
        </w:rPr>
        <w:t xml:space="preserve"> de lien</w:t>
      </w:r>
      <w:r w:rsidR="0060583C">
        <w:rPr>
          <w:lang w:val="fr-FR"/>
        </w:rPr>
        <w:t xml:space="preserve"> certain avec le cancer parmi les syndromes suivants :</w:t>
      </w:r>
    </w:p>
    <w:p w14:paraId="0774DB69" w14:textId="77777777" w:rsidR="00CD463B" w:rsidRDefault="00976679" w:rsidP="00151273">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CD463B">
        <w:rPr>
          <w:b/>
          <w:lang w:val="fr-FR"/>
        </w:rPr>
        <w:t>SPN rénaux :</w:t>
      </w:r>
      <w:r w:rsidRPr="00CD463B">
        <w:rPr>
          <w:lang w:val="fr-FR"/>
        </w:rPr>
        <w:t xml:space="preserve"> g</w:t>
      </w:r>
      <w:r w:rsidR="00107BF0" w:rsidRPr="00CD463B">
        <w:rPr>
          <w:lang w:val="fr-FR"/>
        </w:rPr>
        <w:t xml:space="preserve">lomérulonéphrite </w:t>
      </w:r>
      <w:r w:rsidR="00F9709D" w:rsidRPr="00CD463B">
        <w:rPr>
          <w:lang w:val="fr-FR"/>
        </w:rPr>
        <w:t>paranéoplasiques documentée</w:t>
      </w:r>
      <w:r w:rsidR="00896936">
        <w:rPr>
          <w:lang w:val="fr-FR"/>
        </w:rPr>
        <w:t xml:space="preserve"> </w:t>
      </w:r>
      <w:r w:rsidR="00F9709D" w:rsidRPr="00CD463B">
        <w:rPr>
          <w:lang w:val="fr-FR"/>
        </w:rPr>
        <w:t>sur histologie</w:t>
      </w:r>
      <w:r w:rsidR="00F27A3D" w:rsidRPr="00CD463B">
        <w:rPr>
          <w:lang w:val="fr-FR"/>
        </w:rPr>
        <w:t xml:space="preserve"> rénale</w:t>
      </w:r>
      <w:r w:rsidR="00CD463B" w:rsidRPr="00CD463B">
        <w:rPr>
          <w:lang w:val="fr-FR"/>
        </w:rPr>
        <w:fldChar w:fldCharType="begin"/>
      </w:r>
      <w:r w:rsidR="00CD463B" w:rsidRPr="00CD463B">
        <w:rPr>
          <w:lang w:val="fr-FR"/>
        </w:rPr>
        <w:instrText xml:space="preserve"> ADDIN ZOTERO_ITEM CSL_CITATION {"citationID":"HBJUIq6q","properties":{"formattedCitation":"[4]","plainCitation":"[4]","noteIndex":0},"citationItems":[{"id":1813,"uris":["http://zotero.org/users/188152/items/98MCILG6"],"uri":["http://zotero.org/users/188152/items/98MCILG6"],"itemData":{"id":1813,"type":"article-journal","title":"Paraneoplastic glomerular diseases and malignancies","container-title":"Critical Reviews in Oncology/Hematology","page":"39-58","volume":"70","issue":"1","source":"PubMed","abstract":"Paraneoplastic glomerulopathies are rare manifestations of neoplastic disease to be distinguished from iatrogenic renal damage. Solid tumors are preferentially associated with membranous nephropathy, whereas Hodgkin's lymphomas are associated with minimal change disease. The most common neoplasia associated with paraneoplastic glomerular disease are carcinomas of the lung and of the gastrointestinal tract. Nephrotic syndrome is the most frequent presentation of paraneoplastic glomerulopathy and the most critical glomerular disease regarding prognosis and patient care. Renal biopsy is recommended in patients with glomerular proteinuria or nephrotic syndrome and cancer, depending on life expectancy and therapeutic options. The primary treatment must be directed at the cancer in all cases. Symptomatic treatment of the nephrotic syndrome with diuretics and ACE inhibitors is justified. Prevention of nephrotic syndrome complications, i.e. thromboses and infections, should also be addressed and systematic regular renal follow-up is warranted. All treatments should be regularly reviewed to avoid toxicity, associated renal function loss or low albumin levels for patients receiving albumin-binding drugs. Epidemiologic studies have low evidence-based value. There is no widely accepted experimental model of the association of glomerulopathy and cancer. Thus, epidemiologic and mechanistic studies are needed to determine the true prevalence of paraneoplastic glomerulopathies and investigate new pathophysiologic approaches.","DOI":"10.1016/j.critrevonc.2008.08.003","ISSN":"1879-0461","note":"PMID: 18790651","journalAbbreviation":"Crit. Rev. Oncol. Hematol.","language":"eng","author":[{"family":"Bacchetta","given":"Justine"},{"family":"Juillard","given":"Laurent"},{"family":"Cochat","given":"Pierre"},{"family":"Droz","given":"Jean-Pierre"}],"issued":{"date-parts":[["2009",4]]}}}],"schema":"https://github.com/citation-style-language/schema/raw/master/csl-citation.json"} </w:instrText>
      </w:r>
      <w:r w:rsidR="00CD463B" w:rsidRPr="00CD463B">
        <w:rPr>
          <w:lang w:val="fr-FR"/>
        </w:rPr>
        <w:fldChar w:fldCharType="separate"/>
      </w:r>
      <w:r w:rsidR="00CD463B" w:rsidRPr="00CD463B">
        <w:rPr>
          <w:lang w:val="fr-FR"/>
        </w:rPr>
        <w:t>[4]</w:t>
      </w:r>
      <w:r w:rsidR="00CD463B" w:rsidRPr="00CD463B">
        <w:rPr>
          <w:lang w:val="fr-FR"/>
        </w:rPr>
        <w:fldChar w:fldCharType="end"/>
      </w:r>
      <w:r w:rsidR="00CD463B" w:rsidRPr="00CD463B">
        <w:rPr>
          <w:lang w:val="fr-FR"/>
        </w:rPr>
        <w:t xml:space="preserve"> de types </w:t>
      </w:r>
      <w:r w:rsidR="001122A3">
        <w:rPr>
          <w:lang w:val="fr-FR"/>
        </w:rPr>
        <w:t>glomérulonéphrite extra-membraneuse (</w:t>
      </w:r>
      <w:proofErr w:type="spellStart"/>
      <w:r w:rsidR="00CD463B" w:rsidRPr="00CD463B">
        <w:rPr>
          <w:lang w:val="fr-FR"/>
        </w:rPr>
        <w:t>membranous</w:t>
      </w:r>
      <w:proofErr w:type="spellEnd"/>
      <w:r w:rsidR="00CD463B" w:rsidRPr="00CD463B">
        <w:rPr>
          <w:lang w:val="fr-FR"/>
        </w:rPr>
        <w:t xml:space="preserve"> </w:t>
      </w:r>
      <w:proofErr w:type="spellStart"/>
      <w:r w:rsidR="00CD463B" w:rsidRPr="00CD463B">
        <w:rPr>
          <w:lang w:val="fr-FR"/>
        </w:rPr>
        <w:t>nephropathy</w:t>
      </w:r>
      <w:proofErr w:type="spellEnd"/>
      <w:r w:rsidR="001122A3">
        <w:rPr>
          <w:lang w:val="fr-FR"/>
        </w:rPr>
        <w:t>)</w:t>
      </w:r>
      <w:r w:rsidR="00CD463B" w:rsidRPr="00CD463B">
        <w:rPr>
          <w:lang w:val="fr-FR"/>
        </w:rPr>
        <w:t xml:space="preserve">, </w:t>
      </w:r>
      <w:r w:rsidR="001122A3">
        <w:rPr>
          <w:lang w:val="fr-FR"/>
        </w:rPr>
        <w:t>glomérulonéphrite à lésions glomérulaires minimes (</w:t>
      </w:r>
      <w:r w:rsidR="00CD463B" w:rsidRPr="00CD463B">
        <w:rPr>
          <w:lang w:val="fr-FR"/>
        </w:rPr>
        <w:t xml:space="preserve">minimal change </w:t>
      </w:r>
      <w:proofErr w:type="spellStart"/>
      <w:r w:rsidR="00CD463B" w:rsidRPr="00CD463B">
        <w:rPr>
          <w:lang w:val="fr-FR"/>
        </w:rPr>
        <w:t>disease</w:t>
      </w:r>
      <w:proofErr w:type="spellEnd"/>
      <w:r w:rsidR="001122A3">
        <w:rPr>
          <w:lang w:val="fr-FR"/>
        </w:rPr>
        <w:t>)</w:t>
      </w:r>
      <w:r w:rsidR="00CD463B" w:rsidRPr="00CD463B">
        <w:rPr>
          <w:lang w:val="fr-FR"/>
        </w:rPr>
        <w:t xml:space="preserve">, </w:t>
      </w:r>
      <w:proofErr w:type="spellStart"/>
      <w:r w:rsidR="001122A3">
        <w:rPr>
          <w:lang w:val="fr-FR"/>
        </w:rPr>
        <w:lastRenderedPageBreak/>
        <w:t>néprhopathie</w:t>
      </w:r>
      <w:proofErr w:type="spellEnd"/>
      <w:r w:rsidR="001122A3">
        <w:rPr>
          <w:lang w:val="fr-FR"/>
        </w:rPr>
        <w:t xml:space="preserve"> à </w:t>
      </w:r>
      <w:proofErr w:type="spellStart"/>
      <w:r w:rsidR="001122A3">
        <w:rPr>
          <w:lang w:val="fr-FR"/>
        </w:rPr>
        <w:t>IgA</w:t>
      </w:r>
      <w:proofErr w:type="spellEnd"/>
      <w:r w:rsidR="001122A3">
        <w:rPr>
          <w:lang w:val="fr-FR"/>
        </w:rPr>
        <w:t xml:space="preserve"> (</w:t>
      </w:r>
      <w:proofErr w:type="spellStart"/>
      <w:r w:rsidR="00CD463B" w:rsidRPr="00CD463B">
        <w:rPr>
          <w:lang w:val="fr-FR"/>
        </w:rPr>
        <w:t>IgA</w:t>
      </w:r>
      <w:proofErr w:type="spellEnd"/>
      <w:r w:rsidR="00CD463B" w:rsidRPr="00CD463B">
        <w:rPr>
          <w:lang w:val="fr-FR"/>
        </w:rPr>
        <w:t xml:space="preserve"> </w:t>
      </w:r>
      <w:proofErr w:type="spellStart"/>
      <w:r w:rsidR="00CD463B" w:rsidRPr="00CD463B">
        <w:rPr>
          <w:lang w:val="fr-FR"/>
        </w:rPr>
        <w:t>nephropathy</w:t>
      </w:r>
      <w:proofErr w:type="spellEnd"/>
      <w:r w:rsidR="001122A3">
        <w:rPr>
          <w:lang w:val="fr-FR"/>
        </w:rPr>
        <w:t>)</w:t>
      </w:r>
      <w:r w:rsidR="00CD463B" w:rsidRPr="00CD463B">
        <w:rPr>
          <w:lang w:val="fr-FR"/>
        </w:rPr>
        <w:t xml:space="preserve">, </w:t>
      </w:r>
      <w:r w:rsidR="001122A3">
        <w:rPr>
          <w:lang w:val="fr-FR"/>
        </w:rPr>
        <w:t>glomérulonéphrite segmentaire et focale (</w:t>
      </w:r>
      <w:r w:rsidR="00CD463B" w:rsidRPr="00CD463B">
        <w:rPr>
          <w:lang w:val="fr-FR"/>
        </w:rPr>
        <w:t xml:space="preserve">focal segmental </w:t>
      </w:r>
      <w:proofErr w:type="spellStart"/>
      <w:r w:rsidR="00CD463B" w:rsidRPr="00CD463B">
        <w:rPr>
          <w:lang w:val="fr-FR"/>
        </w:rPr>
        <w:t>glome</w:t>
      </w:r>
      <w:r w:rsidR="00092142">
        <w:rPr>
          <w:lang w:val="fr-FR"/>
        </w:rPr>
        <w:t>r</w:t>
      </w:r>
      <w:r w:rsidR="00CD463B" w:rsidRPr="00CD463B">
        <w:rPr>
          <w:lang w:val="fr-FR"/>
        </w:rPr>
        <w:t>ulosclerosis</w:t>
      </w:r>
      <w:proofErr w:type="spellEnd"/>
      <w:r w:rsidR="001122A3">
        <w:rPr>
          <w:lang w:val="fr-FR"/>
        </w:rPr>
        <w:t>)</w:t>
      </w:r>
      <w:r w:rsidR="00CD463B" w:rsidRPr="00CD463B">
        <w:rPr>
          <w:lang w:val="fr-FR"/>
        </w:rPr>
        <w:t xml:space="preserve">, </w:t>
      </w:r>
      <w:proofErr w:type="spellStart"/>
      <w:r w:rsidR="001122A3">
        <w:rPr>
          <w:lang w:val="fr-FR"/>
        </w:rPr>
        <w:t>glomerulonéphrite</w:t>
      </w:r>
      <w:proofErr w:type="spellEnd"/>
      <w:r w:rsidR="001122A3">
        <w:rPr>
          <w:lang w:val="fr-FR"/>
        </w:rPr>
        <w:t xml:space="preserve"> </w:t>
      </w:r>
      <w:proofErr w:type="spellStart"/>
      <w:r w:rsidR="001122A3">
        <w:rPr>
          <w:lang w:val="fr-FR"/>
        </w:rPr>
        <w:t>mésangiocapillaire</w:t>
      </w:r>
      <w:proofErr w:type="spellEnd"/>
      <w:r w:rsidR="001122A3">
        <w:rPr>
          <w:lang w:val="fr-FR"/>
        </w:rPr>
        <w:t xml:space="preserve"> (</w:t>
      </w:r>
      <w:proofErr w:type="spellStart"/>
      <w:r w:rsidR="00CD463B" w:rsidRPr="00CD463B">
        <w:rPr>
          <w:lang w:val="fr-FR"/>
        </w:rPr>
        <w:t>mesangiocapillary</w:t>
      </w:r>
      <w:proofErr w:type="spellEnd"/>
      <w:r w:rsidR="00CD463B" w:rsidRPr="00CD463B">
        <w:rPr>
          <w:lang w:val="fr-FR"/>
        </w:rPr>
        <w:t xml:space="preserve"> </w:t>
      </w:r>
      <w:proofErr w:type="spellStart"/>
      <w:r w:rsidR="00CD463B" w:rsidRPr="00CD463B">
        <w:rPr>
          <w:lang w:val="fr-FR"/>
        </w:rPr>
        <w:t>glomerulonephritis</w:t>
      </w:r>
      <w:proofErr w:type="spellEnd"/>
      <w:r w:rsidR="001122A3">
        <w:rPr>
          <w:lang w:val="fr-FR"/>
        </w:rPr>
        <w:t>)</w:t>
      </w:r>
      <w:r w:rsidR="00CD463B" w:rsidRPr="00CD463B">
        <w:rPr>
          <w:lang w:val="fr-FR"/>
        </w:rPr>
        <w:t xml:space="preserve">, </w:t>
      </w:r>
      <w:proofErr w:type="spellStart"/>
      <w:r w:rsidR="001122A3">
        <w:rPr>
          <w:lang w:val="fr-FR"/>
        </w:rPr>
        <w:t>glomerulonéphrite</w:t>
      </w:r>
      <w:proofErr w:type="spellEnd"/>
      <w:r w:rsidR="001122A3">
        <w:rPr>
          <w:lang w:val="fr-FR"/>
        </w:rPr>
        <w:t xml:space="preserve"> rapidement progressive (</w:t>
      </w:r>
      <w:proofErr w:type="spellStart"/>
      <w:r w:rsidR="00CD463B" w:rsidRPr="00CD463B">
        <w:rPr>
          <w:lang w:val="fr-FR"/>
        </w:rPr>
        <w:t>crescentic</w:t>
      </w:r>
      <w:proofErr w:type="spellEnd"/>
      <w:r w:rsidR="00CD463B" w:rsidRPr="00CD463B">
        <w:rPr>
          <w:lang w:val="fr-FR"/>
        </w:rPr>
        <w:t xml:space="preserve"> </w:t>
      </w:r>
      <w:proofErr w:type="spellStart"/>
      <w:r w:rsidR="00CD463B" w:rsidRPr="00CD463B">
        <w:rPr>
          <w:lang w:val="fr-FR"/>
        </w:rPr>
        <w:t>gl</w:t>
      </w:r>
      <w:r w:rsidR="001122A3">
        <w:rPr>
          <w:lang w:val="fr-FR"/>
        </w:rPr>
        <w:t>o</w:t>
      </w:r>
      <w:r w:rsidR="00CD463B" w:rsidRPr="00CD463B">
        <w:rPr>
          <w:lang w:val="fr-FR"/>
        </w:rPr>
        <w:t>m</w:t>
      </w:r>
      <w:r w:rsidR="001122A3">
        <w:rPr>
          <w:lang w:val="fr-FR"/>
        </w:rPr>
        <w:t>e</w:t>
      </w:r>
      <w:r w:rsidR="00CD463B" w:rsidRPr="00CD463B">
        <w:rPr>
          <w:lang w:val="fr-FR"/>
        </w:rPr>
        <w:t>rulonephritis</w:t>
      </w:r>
      <w:proofErr w:type="spellEnd"/>
      <w:r w:rsidR="001122A3">
        <w:rPr>
          <w:lang w:val="fr-FR"/>
        </w:rPr>
        <w:t>)</w:t>
      </w:r>
      <w:r w:rsidR="00CD463B" w:rsidRPr="00CD463B">
        <w:rPr>
          <w:lang w:val="fr-FR"/>
        </w:rPr>
        <w:t>.</w:t>
      </w:r>
    </w:p>
    <w:p w14:paraId="31223044" w14:textId="77777777" w:rsidR="00AB5B21" w:rsidRPr="00CD463B" w:rsidRDefault="00976679" w:rsidP="00151273">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CD463B">
        <w:rPr>
          <w:b/>
          <w:lang w:val="fr-FR"/>
        </w:rPr>
        <w:t>SPN neurologiques :</w:t>
      </w:r>
      <w:r w:rsidRPr="00CD463B">
        <w:rPr>
          <w:lang w:val="fr-FR"/>
        </w:rPr>
        <w:t xml:space="preserve"> s</w:t>
      </w:r>
      <w:r w:rsidR="00AB5B21" w:rsidRPr="00CD463B">
        <w:rPr>
          <w:lang w:val="fr-FR"/>
        </w:rPr>
        <w:t xml:space="preserve">yndromes neurologiques </w:t>
      </w:r>
      <w:r w:rsidR="005C1201" w:rsidRPr="00CD463B">
        <w:rPr>
          <w:lang w:val="fr-FR"/>
        </w:rPr>
        <w:t xml:space="preserve">du </w:t>
      </w:r>
      <w:r w:rsidR="00F27A3D" w:rsidRPr="00CD463B">
        <w:rPr>
          <w:lang w:val="fr-FR"/>
        </w:rPr>
        <w:t>système nerveux périphérique</w:t>
      </w:r>
      <w:r w:rsidR="00F9709D" w:rsidRPr="00CD463B">
        <w:rPr>
          <w:lang w:val="fr-FR"/>
        </w:rPr>
        <w:t xml:space="preserve"> ou </w:t>
      </w:r>
      <w:r w:rsidR="00F27A3D" w:rsidRPr="00CD463B">
        <w:rPr>
          <w:lang w:val="fr-FR"/>
        </w:rPr>
        <w:t xml:space="preserve">du système nerveux central avec </w:t>
      </w:r>
      <w:r w:rsidR="00F9709D" w:rsidRPr="00CD463B">
        <w:rPr>
          <w:lang w:val="fr-FR"/>
        </w:rPr>
        <w:t>encéphalomyélite</w:t>
      </w:r>
      <w:r w:rsidRPr="00CD463B">
        <w:rPr>
          <w:lang w:val="fr-FR"/>
        </w:rPr>
        <w:t xml:space="preserve">, </w:t>
      </w:r>
      <w:r w:rsidR="00F27A3D" w:rsidRPr="00CD463B">
        <w:rPr>
          <w:lang w:val="fr-FR"/>
        </w:rPr>
        <w:t>ou du système nerveux autonome (</w:t>
      </w:r>
      <w:proofErr w:type="spellStart"/>
      <w:r w:rsidRPr="00CD463B">
        <w:rPr>
          <w:lang w:val="fr-FR"/>
        </w:rPr>
        <w:t>autonomic</w:t>
      </w:r>
      <w:proofErr w:type="spellEnd"/>
      <w:r w:rsidRPr="00CD463B">
        <w:rPr>
          <w:lang w:val="fr-FR"/>
        </w:rPr>
        <w:t xml:space="preserve"> system </w:t>
      </w:r>
      <w:proofErr w:type="spellStart"/>
      <w:r w:rsidRPr="00CD463B">
        <w:rPr>
          <w:lang w:val="fr-FR"/>
        </w:rPr>
        <w:t>disorder</w:t>
      </w:r>
      <w:proofErr w:type="spellEnd"/>
      <w:r w:rsidR="00F27A3D" w:rsidRPr="00CD463B">
        <w:rPr>
          <w:lang w:val="fr-FR"/>
        </w:rPr>
        <w:t>)</w:t>
      </w:r>
      <w:r w:rsidR="005C1201" w:rsidRPr="00CD463B">
        <w:rPr>
          <w:lang w:val="fr-FR"/>
        </w:rPr>
        <w:t xml:space="preserve">, </w:t>
      </w:r>
      <w:r w:rsidR="00F27A3D" w:rsidRPr="00CD463B">
        <w:rPr>
          <w:lang w:val="fr-FR"/>
        </w:rPr>
        <w:t>ou autres (</w:t>
      </w:r>
      <w:proofErr w:type="spellStart"/>
      <w:r w:rsidR="00F27A3D" w:rsidRPr="00CD463B">
        <w:rPr>
          <w:lang w:val="fr-FR"/>
        </w:rPr>
        <w:t>stiff</w:t>
      </w:r>
      <w:proofErr w:type="spellEnd"/>
      <w:r w:rsidR="00F27A3D" w:rsidRPr="00CD463B">
        <w:rPr>
          <w:lang w:val="fr-FR"/>
        </w:rPr>
        <w:t xml:space="preserve"> man syndrome</w:t>
      </w:r>
      <w:r w:rsidR="005C1201" w:rsidRPr="00CD463B">
        <w:rPr>
          <w:lang w:val="fr-FR"/>
        </w:rPr>
        <w:t>…</w:t>
      </w:r>
      <w:r w:rsidR="00F9709D" w:rsidRPr="00CD463B">
        <w:rPr>
          <w:lang w:val="fr-FR"/>
        </w:rPr>
        <w:t>)</w:t>
      </w:r>
      <w:r w:rsidR="005C1201" w:rsidRPr="00CD463B">
        <w:rPr>
          <w:lang w:val="fr-FR"/>
        </w:rPr>
        <w:t xml:space="preserve">, </w:t>
      </w:r>
      <w:r w:rsidR="00F27A3D" w:rsidRPr="00CD463B">
        <w:rPr>
          <w:lang w:val="fr-FR"/>
        </w:rPr>
        <w:t xml:space="preserve">et </w:t>
      </w:r>
      <w:r w:rsidR="00AB5B21" w:rsidRPr="00CD463B">
        <w:rPr>
          <w:lang w:val="fr-FR"/>
        </w:rPr>
        <w:t xml:space="preserve">définis </w:t>
      </w:r>
      <w:r w:rsidR="00F9709D" w:rsidRPr="00CD463B">
        <w:rPr>
          <w:lang w:val="fr-FR"/>
        </w:rPr>
        <w:t xml:space="preserve">selon </w:t>
      </w:r>
      <w:r w:rsidR="00F27A3D" w:rsidRPr="00CD463B">
        <w:rPr>
          <w:lang w:val="fr-FR"/>
        </w:rPr>
        <w:t xml:space="preserve">la série </w:t>
      </w:r>
      <w:r w:rsidR="00803654">
        <w:rPr>
          <w:lang w:val="fr-FR"/>
        </w:rPr>
        <w:t xml:space="preserve">de </w:t>
      </w:r>
      <w:proofErr w:type="spellStart"/>
      <w:r w:rsidR="00F9709D" w:rsidRPr="00CD463B">
        <w:rPr>
          <w:lang w:val="fr-FR"/>
        </w:rPr>
        <w:t>Giometto</w:t>
      </w:r>
      <w:proofErr w:type="spellEnd"/>
      <w:r w:rsidR="008C30C8">
        <w:rPr>
          <w:lang w:val="fr-FR"/>
        </w:rPr>
        <w:fldChar w:fldCharType="begin"/>
      </w:r>
      <w:r w:rsidR="008C30C8">
        <w:rPr>
          <w:lang w:val="fr-FR"/>
        </w:rPr>
        <w:instrText xml:space="preserve"> ADDIN ZOTERO_ITEM CSL_CITATION {"citationID":"YNhPwfJo","properties":{"formattedCitation":"[5]","plainCitation":"[5]","noteIndex":0},"citationItems":[{"id":1815,"uris":["http://zotero.org/users/188152/items/436GW82Y"],"uri":["http://zotero.org/users/188152/items/436GW82Y"],"itemData":{"id":1815,"type":"article-journal","title":"Paraneoplastic neurologic syndrome in the PNS Euronetwork database: a European study from 20 centers","container-title":"Archives of Neurology","page":"330-335","volume":"67","issue":"3","source":"PubMed","abstract":"BACKGROUND: Paraneoplastic neurologic syndrome (PNS) represents the remote effects of cancer on the nervous system. Diagnostic criteria for the syndrome were published by the PNS Euronetwork and form the basis of a database to collect standardized clinical data from patients with PNS.\nOBJECTIVES: To analyze various types of PNS, frequent tumor and antibody associations, clinical characteristics of individual syndromes, and possible therapeutic and prognostic strategies.\nDESIGN: Prospective case series and database study.\nSETTING: Twenty European centers. Patients Patients were recruited from January 1, 2000, to December 31, 2008.\nMAIN OUTCOME MEASURES: Based on diagnostic criteria published by the PNS Euronetwork consortium, clinical characteristics of classic PNS and several other less well-characterized syndromes associated with cancer were assessed.\nRESULTS: Data from 979 patients were analyzed, representing the largest PNS investigation to date. The findings elucidate the clinical evolution of paraneoplastic cerebellar syndrome according to the onconeural antibodies present, the heterogeneity and prognosis of dysautonomic disorders, and the clinical variability of paraneoplastic limbic encephalitis.\nCONCLUSION: The study results confirm that PNS influences oncologic patient survival. Tumors are the main cause of death, but some types of PNS (such as dysautonomia) have a poorer prognosis than malignant neoplasms.","DOI":"10.1001/archneurol.2009.341","ISSN":"1538-3687","note":"PMID: 20212230","shortTitle":"Paraneoplastic neurologic syndrome in the PNS Euronetwork database","journalAbbreviation":"Arch. Neurol.","language":"eng","author":[{"family":"Giometto","given":"Bruno"},{"family":"Grisold","given":"Wolfgang"},{"family":"Vitaliani","given":"Roberta"},{"family":"Graus","given":"Francesc"},{"family":"Honnorat","given":"Jérôme"},{"family":"Bertolini","given":"Guido"},{"literal":"PNS Euronetwork"}],"issued":{"date-parts":[["2010",3]]}}}],"schema":"https://github.com/citation-style-language/schema/raw/master/csl-citation.json"} </w:instrText>
      </w:r>
      <w:r w:rsidR="008C30C8">
        <w:rPr>
          <w:lang w:val="fr-FR"/>
        </w:rPr>
        <w:fldChar w:fldCharType="separate"/>
      </w:r>
      <w:r w:rsidR="008C30C8" w:rsidRPr="008C30C8">
        <w:rPr>
          <w:lang w:val="fr-FR"/>
        </w:rPr>
        <w:t>[5]</w:t>
      </w:r>
      <w:r w:rsidR="008C30C8">
        <w:rPr>
          <w:lang w:val="fr-FR"/>
        </w:rPr>
        <w:fldChar w:fldCharType="end"/>
      </w:r>
      <w:r w:rsidR="008C30C8">
        <w:rPr>
          <w:lang w:val="fr-FR"/>
        </w:rPr>
        <w:t>.</w:t>
      </w:r>
      <w:r w:rsidR="00956DA3">
        <w:rPr>
          <w:lang w:val="fr-FR"/>
        </w:rPr>
        <w:t xml:space="preserve"> </w:t>
      </w:r>
    </w:p>
    <w:p w14:paraId="4FBFB5EE" w14:textId="77777777" w:rsidR="00AB5B21" w:rsidRPr="00132BD0" w:rsidRDefault="00976679" w:rsidP="00CF3797">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D81EEF">
        <w:rPr>
          <w:b/>
          <w:lang w:val="fr-FR"/>
        </w:rPr>
        <w:t>SPN rhumatologiques</w:t>
      </w:r>
      <w:r w:rsidR="00896936">
        <w:rPr>
          <w:b/>
          <w:lang w:val="fr-FR"/>
        </w:rPr>
        <w:fldChar w:fldCharType="begin"/>
      </w:r>
      <w:r w:rsidR="00896936">
        <w:rPr>
          <w:b/>
          <w:lang w:val="fr-FR"/>
        </w:rPr>
        <w:instrText xml:space="preserve"> ADDIN ZOTERO_ITEM CSL_CITATION {"citationID":"9oIrc9UW","properties":{"formattedCitation":"[6]","plainCitation":"[6]","noteIndex":0},"citationItems":[{"id":1817,"uris":["http://zotero.org/users/188152/items/TQJYFVZU"],"uri":["http://zotero.org/users/188152/items/TQJYFVZU"],"itemData":{"id":1817,"type":"article-journal","title":"Paraneoplastic syndromes in rheumatology","container-title":"Nature Reviews. Rheumatology","page":"662-670","volume":"10","issue":"11","source":"PubMed","abstract":"For patients that present with musculoskeletal symptoms, diagnostic procedures carried out by physicians and rheumatologists are primarily aimed at confirming or excluding the occurrence of primary rheumatic diseases. Another important trigger for musculoskeletal disease, however, is the presence of a tumour. Careful clinical investigation and knowledge of the gestalt of musculoskeletal syndromes related to respective tumour entities is of utmost importance for the diagnosis of paraneoplastic rheumatic diseases such as hypertrophic osteoarthropathy, paraneoplastic polyarthritis, RS3PE syndrome, palmar fasciitis and polyarthritis, cancer-associated myositis and tumour-induced osteomalacia. This places great responsibility on rheumatologists in diagnosing malignancies and referring the patient for effective treatment. The selective influence of tumours on musculoskeletal tissue is surprising and indicates that tumours alter tissues such as the periosteum, synovial membrane, subcutaneous connective tissue, fascia, muscles and bones by specific molecular processes. Some of the underlying mechanisms have been unravelled, providing valuable information on the physiologic and pathophysiologic roles of mediators such as vascular endothelial growth factor and fibroblast growth factor 23.","DOI":"10.1038/nrrheum.2014.138","ISSN":"1759-4804","note":"PMID: 25136782","journalAbbreviation":"Nat Rev Rheumatol","language":"eng","author":[{"family":"Manger","given":"Bernhard"},{"family":"Schett","given":"Georg"}],"issued":{"date-parts":[["2014",11]]}}}],"schema":"https://github.com/citation-style-language/schema/raw/master/csl-citation.json"} </w:instrText>
      </w:r>
      <w:r w:rsidR="00896936">
        <w:rPr>
          <w:b/>
          <w:lang w:val="fr-FR"/>
        </w:rPr>
        <w:fldChar w:fldCharType="separate"/>
      </w:r>
      <w:r w:rsidR="00896936" w:rsidRPr="00896936">
        <w:rPr>
          <w:lang w:val="fr-FR"/>
        </w:rPr>
        <w:t>[6]</w:t>
      </w:r>
      <w:r w:rsidR="00896936">
        <w:rPr>
          <w:b/>
          <w:lang w:val="fr-FR"/>
        </w:rPr>
        <w:fldChar w:fldCharType="end"/>
      </w:r>
      <w:r w:rsidR="00896936">
        <w:rPr>
          <w:b/>
          <w:lang w:val="fr-FR"/>
        </w:rPr>
        <w:t xml:space="preserve"> </w:t>
      </w:r>
      <w:r w:rsidR="00896936" w:rsidRPr="00C61A8F">
        <w:rPr>
          <w:lang w:val="fr-FR"/>
        </w:rPr>
        <w:t xml:space="preserve">de </w:t>
      </w:r>
      <w:r w:rsidR="00896936" w:rsidRPr="00803654">
        <w:rPr>
          <w:lang w:val="fr-FR"/>
        </w:rPr>
        <w:t>type</w:t>
      </w:r>
      <w:r w:rsidR="00896936" w:rsidRPr="00D61759">
        <w:rPr>
          <w:lang w:val="fr-FR"/>
        </w:rPr>
        <w:t xml:space="preserve"> </w:t>
      </w:r>
      <w:r w:rsidR="00803654" w:rsidRPr="00D61759">
        <w:rPr>
          <w:lang w:val="fr-FR"/>
        </w:rPr>
        <w:t xml:space="preserve">pseudopolyarthrite </w:t>
      </w:r>
      <w:proofErr w:type="spellStart"/>
      <w:r w:rsidR="00803654" w:rsidRPr="00D61759">
        <w:rPr>
          <w:lang w:val="fr-FR"/>
        </w:rPr>
        <w:t>rhizomélique</w:t>
      </w:r>
      <w:proofErr w:type="spellEnd"/>
      <w:r w:rsidR="00803654" w:rsidRPr="00D61759">
        <w:rPr>
          <w:lang w:val="fr-FR"/>
        </w:rPr>
        <w:t xml:space="preserve"> (</w:t>
      </w:r>
      <w:proofErr w:type="spellStart"/>
      <w:r w:rsidR="00F27A3D" w:rsidRPr="00803654">
        <w:rPr>
          <w:lang w:val="fr-FR"/>
        </w:rPr>
        <w:t>polymyalgia</w:t>
      </w:r>
      <w:proofErr w:type="spellEnd"/>
      <w:r w:rsidR="00F27A3D" w:rsidRPr="00803654">
        <w:rPr>
          <w:lang w:val="fr-FR"/>
        </w:rPr>
        <w:t xml:space="preserve"> </w:t>
      </w:r>
      <w:proofErr w:type="spellStart"/>
      <w:r w:rsidR="00F27A3D" w:rsidRPr="00803654">
        <w:rPr>
          <w:lang w:val="fr-FR"/>
        </w:rPr>
        <w:t>rheumatica</w:t>
      </w:r>
      <w:proofErr w:type="spellEnd"/>
      <w:r w:rsidR="00803654" w:rsidRPr="00956DA3">
        <w:rPr>
          <w:lang w:val="fr-FR"/>
        </w:rPr>
        <w:t>)</w:t>
      </w:r>
      <w:r w:rsidR="00F27A3D" w:rsidRPr="00956DA3">
        <w:rPr>
          <w:lang w:val="fr-FR"/>
        </w:rPr>
        <w:t xml:space="preserve">, </w:t>
      </w:r>
      <w:r w:rsidRPr="00956DA3">
        <w:rPr>
          <w:lang w:val="fr-FR"/>
        </w:rPr>
        <w:t>s</w:t>
      </w:r>
      <w:r w:rsidR="00107BF0" w:rsidRPr="00956DA3">
        <w:rPr>
          <w:lang w:val="fr-FR"/>
        </w:rPr>
        <w:t xml:space="preserve">yndrome </w:t>
      </w:r>
      <w:r w:rsidR="00803654" w:rsidRPr="00A514C3">
        <w:rPr>
          <w:lang w:val="fr-FR"/>
        </w:rPr>
        <w:t>RS3PE</w:t>
      </w:r>
      <w:r w:rsidR="00803654">
        <w:rPr>
          <w:lang w:val="fr-FR"/>
        </w:rPr>
        <w:t xml:space="preserve"> (</w:t>
      </w:r>
      <w:proofErr w:type="spellStart"/>
      <w:r w:rsidR="00F27A3D" w:rsidRPr="00132BD0">
        <w:rPr>
          <w:shd w:val="clear" w:color="auto" w:fill="FFFFFF"/>
          <w:lang w:val="fr-FR"/>
        </w:rPr>
        <w:t>Remitting</w:t>
      </w:r>
      <w:proofErr w:type="spellEnd"/>
      <w:r w:rsidR="00F27A3D" w:rsidRPr="00132BD0">
        <w:rPr>
          <w:shd w:val="clear" w:color="auto" w:fill="FFFFFF"/>
          <w:lang w:val="fr-FR"/>
        </w:rPr>
        <w:t xml:space="preserve"> </w:t>
      </w:r>
      <w:proofErr w:type="spellStart"/>
      <w:r w:rsidR="00F27A3D" w:rsidRPr="00132BD0">
        <w:rPr>
          <w:shd w:val="clear" w:color="auto" w:fill="FFFFFF"/>
          <w:lang w:val="fr-FR"/>
        </w:rPr>
        <w:t>seronegative</w:t>
      </w:r>
      <w:proofErr w:type="spellEnd"/>
      <w:r w:rsidR="00F27A3D" w:rsidRPr="00132BD0">
        <w:rPr>
          <w:shd w:val="clear" w:color="auto" w:fill="FFFFFF"/>
          <w:lang w:val="fr-FR"/>
        </w:rPr>
        <w:t xml:space="preserve"> </w:t>
      </w:r>
      <w:proofErr w:type="spellStart"/>
      <w:r w:rsidR="00F27A3D" w:rsidRPr="00132BD0">
        <w:rPr>
          <w:shd w:val="clear" w:color="auto" w:fill="FFFFFF"/>
          <w:lang w:val="fr-FR"/>
        </w:rPr>
        <w:t>symmetrical</w:t>
      </w:r>
      <w:proofErr w:type="spellEnd"/>
      <w:r w:rsidR="00F27A3D" w:rsidRPr="00132BD0">
        <w:rPr>
          <w:shd w:val="clear" w:color="auto" w:fill="FFFFFF"/>
          <w:lang w:val="fr-FR"/>
        </w:rPr>
        <w:t xml:space="preserve"> </w:t>
      </w:r>
      <w:proofErr w:type="spellStart"/>
      <w:r w:rsidR="00F27A3D" w:rsidRPr="00132BD0">
        <w:rPr>
          <w:shd w:val="clear" w:color="auto" w:fill="FFFFFF"/>
          <w:lang w:val="fr-FR"/>
        </w:rPr>
        <w:t>synovitis</w:t>
      </w:r>
      <w:proofErr w:type="spellEnd"/>
      <w:r w:rsidR="00F27A3D" w:rsidRPr="00132BD0">
        <w:rPr>
          <w:shd w:val="clear" w:color="auto" w:fill="FFFFFF"/>
          <w:lang w:val="fr-FR"/>
        </w:rPr>
        <w:t xml:space="preserve"> </w:t>
      </w:r>
      <w:proofErr w:type="spellStart"/>
      <w:r w:rsidR="00F27A3D" w:rsidRPr="00132BD0">
        <w:rPr>
          <w:shd w:val="clear" w:color="auto" w:fill="FFFFFF"/>
          <w:lang w:val="fr-FR"/>
        </w:rPr>
        <w:t>with</w:t>
      </w:r>
      <w:proofErr w:type="spellEnd"/>
      <w:r w:rsidR="00F27A3D" w:rsidRPr="00132BD0">
        <w:rPr>
          <w:shd w:val="clear" w:color="auto" w:fill="FFFFFF"/>
          <w:lang w:val="fr-FR"/>
        </w:rPr>
        <w:t xml:space="preserve"> </w:t>
      </w:r>
      <w:proofErr w:type="spellStart"/>
      <w:r w:rsidR="00F27A3D" w:rsidRPr="00132BD0">
        <w:rPr>
          <w:shd w:val="clear" w:color="auto" w:fill="FFFFFF"/>
          <w:lang w:val="fr-FR"/>
        </w:rPr>
        <w:t>pitting</w:t>
      </w:r>
      <w:proofErr w:type="spellEnd"/>
      <w:r w:rsidR="00F27A3D" w:rsidRPr="00132BD0">
        <w:rPr>
          <w:shd w:val="clear" w:color="auto" w:fill="FFFFFF"/>
          <w:lang w:val="fr-FR"/>
        </w:rPr>
        <w:t xml:space="preserve"> </w:t>
      </w:r>
      <w:proofErr w:type="spellStart"/>
      <w:r w:rsidR="00F27A3D" w:rsidRPr="00132BD0">
        <w:rPr>
          <w:shd w:val="clear" w:color="auto" w:fill="FFFFFF"/>
          <w:lang w:val="fr-FR"/>
        </w:rPr>
        <w:t>edema</w:t>
      </w:r>
      <w:proofErr w:type="spellEnd"/>
      <w:r w:rsidR="00803654">
        <w:rPr>
          <w:lang w:val="fr-FR"/>
        </w:rPr>
        <w:t>)</w:t>
      </w:r>
      <w:r w:rsidR="00896936">
        <w:rPr>
          <w:lang w:val="fr-FR"/>
        </w:rPr>
        <w:t xml:space="preserve">, </w:t>
      </w:r>
      <w:proofErr w:type="spellStart"/>
      <w:r w:rsidR="00803654">
        <w:rPr>
          <w:lang w:val="fr-FR"/>
        </w:rPr>
        <w:t>Osteoarthropathie</w:t>
      </w:r>
      <w:proofErr w:type="spellEnd"/>
      <w:r w:rsidR="00803654">
        <w:rPr>
          <w:lang w:val="fr-FR"/>
        </w:rPr>
        <w:t xml:space="preserve"> </w:t>
      </w:r>
      <w:proofErr w:type="spellStart"/>
      <w:r w:rsidR="00803654">
        <w:rPr>
          <w:lang w:val="fr-FR"/>
        </w:rPr>
        <w:t>hypetrophiante</w:t>
      </w:r>
      <w:proofErr w:type="spellEnd"/>
      <w:r w:rsidR="00803654">
        <w:rPr>
          <w:lang w:val="fr-FR"/>
        </w:rPr>
        <w:t xml:space="preserve"> </w:t>
      </w:r>
      <w:proofErr w:type="spellStart"/>
      <w:r w:rsidR="00803654">
        <w:rPr>
          <w:lang w:val="fr-FR"/>
        </w:rPr>
        <w:t>pneumique</w:t>
      </w:r>
      <w:proofErr w:type="spellEnd"/>
      <w:r w:rsidR="00803654">
        <w:rPr>
          <w:lang w:val="fr-FR"/>
        </w:rPr>
        <w:t xml:space="preserve"> (</w:t>
      </w:r>
      <w:proofErr w:type="spellStart"/>
      <w:r w:rsidR="00896936">
        <w:rPr>
          <w:lang w:val="fr-FR"/>
        </w:rPr>
        <w:t>hypertrophic</w:t>
      </w:r>
      <w:proofErr w:type="spellEnd"/>
      <w:r w:rsidR="00896936">
        <w:rPr>
          <w:lang w:val="fr-FR"/>
        </w:rPr>
        <w:t xml:space="preserve"> </w:t>
      </w:r>
      <w:proofErr w:type="spellStart"/>
      <w:r w:rsidR="00896936">
        <w:rPr>
          <w:lang w:val="fr-FR"/>
        </w:rPr>
        <w:t>osteoarthropathy</w:t>
      </w:r>
      <w:proofErr w:type="spellEnd"/>
      <w:r w:rsidR="00803654">
        <w:rPr>
          <w:lang w:val="fr-FR"/>
        </w:rPr>
        <w:t>)</w:t>
      </w:r>
      <w:r w:rsidR="00D81EEF">
        <w:rPr>
          <w:lang w:val="fr-FR"/>
        </w:rPr>
        <w:t xml:space="preserve"> ou syndrome de Pierre-Marie et Foix</w:t>
      </w:r>
      <w:r w:rsidR="00896936">
        <w:rPr>
          <w:lang w:val="fr-FR"/>
        </w:rPr>
        <w:t xml:space="preserve">, </w:t>
      </w:r>
      <w:proofErr w:type="spellStart"/>
      <w:r w:rsidR="00A514C3">
        <w:rPr>
          <w:lang w:val="fr-FR"/>
        </w:rPr>
        <w:t>fasciite</w:t>
      </w:r>
      <w:proofErr w:type="spellEnd"/>
      <w:r w:rsidR="00A514C3">
        <w:rPr>
          <w:lang w:val="fr-FR"/>
        </w:rPr>
        <w:t xml:space="preserve"> palmaire avec </w:t>
      </w:r>
      <w:proofErr w:type="spellStart"/>
      <w:r w:rsidR="00A514C3">
        <w:rPr>
          <w:lang w:val="fr-FR"/>
        </w:rPr>
        <w:t>polyarthralgies</w:t>
      </w:r>
      <w:proofErr w:type="spellEnd"/>
      <w:r w:rsidR="00A514C3">
        <w:rPr>
          <w:lang w:val="fr-FR"/>
        </w:rPr>
        <w:t xml:space="preserve"> (</w:t>
      </w:r>
      <w:proofErr w:type="spellStart"/>
      <w:r w:rsidR="00896936">
        <w:rPr>
          <w:lang w:val="fr-FR"/>
        </w:rPr>
        <w:t>palmar</w:t>
      </w:r>
      <w:proofErr w:type="spellEnd"/>
      <w:r w:rsidR="00896936">
        <w:rPr>
          <w:lang w:val="fr-FR"/>
        </w:rPr>
        <w:t xml:space="preserve"> </w:t>
      </w:r>
      <w:proofErr w:type="spellStart"/>
      <w:r w:rsidR="00896936">
        <w:rPr>
          <w:lang w:val="fr-FR"/>
        </w:rPr>
        <w:t>fasciitis</w:t>
      </w:r>
      <w:proofErr w:type="spellEnd"/>
      <w:r w:rsidR="00896936">
        <w:rPr>
          <w:lang w:val="fr-FR"/>
        </w:rPr>
        <w:t xml:space="preserve"> and </w:t>
      </w:r>
      <w:proofErr w:type="spellStart"/>
      <w:r w:rsidR="00896936">
        <w:rPr>
          <w:lang w:val="fr-FR"/>
        </w:rPr>
        <w:t>polyarthritis</w:t>
      </w:r>
      <w:proofErr w:type="spellEnd"/>
      <w:r w:rsidR="00A514C3">
        <w:rPr>
          <w:lang w:val="fr-FR"/>
        </w:rPr>
        <w:t>).</w:t>
      </w:r>
    </w:p>
    <w:p w14:paraId="3F0B6C83" w14:textId="77777777" w:rsidR="00E835BC" w:rsidRPr="00976978" w:rsidRDefault="00976679" w:rsidP="00976978">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D81EEF">
        <w:rPr>
          <w:b/>
          <w:lang w:val="fr-FR"/>
        </w:rPr>
        <w:t xml:space="preserve">SPN </w:t>
      </w:r>
      <w:r w:rsidR="001466AF">
        <w:rPr>
          <w:b/>
          <w:lang w:val="fr-FR"/>
        </w:rPr>
        <w:t xml:space="preserve">avec </w:t>
      </w:r>
      <w:r w:rsidR="00E835BC">
        <w:rPr>
          <w:b/>
          <w:lang w:val="fr-FR"/>
        </w:rPr>
        <w:t xml:space="preserve">vascularite </w:t>
      </w:r>
      <w:r w:rsidRPr="00D81EEF">
        <w:rPr>
          <w:b/>
          <w:lang w:val="fr-FR"/>
        </w:rPr>
        <w:t>systémique</w:t>
      </w:r>
      <w:r w:rsidR="00E835BC">
        <w:rPr>
          <w:b/>
          <w:lang w:val="fr-FR"/>
        </w:rPr>
        <w:fldChar w:fldCharType="begin"/>
      </w:r>
      <w:r w:rsidR="00E835BC">
        <w:rPr>
          <w:b/>
          <w:lang w:val="fr-FR"/>
        </w:rPr>
        <w:instrText xml:space="preserve"> ADDIN ZOTERO_ITEM CSL_CITATION {"citationID":"61pneNYB","properties":{"formattedCitation":"[7]","plainCitation":"[7]","noteIndex":0},"citationItems":[{"id":1819,"uris":["http://zotero.org/users/188152/items/2N62DB2W"],"uri":["http://zotero.org/users/188152/items/2N62DB2W"],"itemData":{"id":1819,"type":"article-journal","title":"Paraneoplastic vasculitis in patients with solid tumors: report of 15 cases","container-title":"The Journal of Rheumatology","page":"294-304","volume":"35","issue":"2","source":"PubMed","abstract":"OBJECTIVE: To review all cases of concurrent vasculitis and solid tumors diagnosed at our Department over a 15-year period and explore evidence that would support the notion of vasculitis being a true paraneoplastic syndrome.\nMETHODS: We reviewed the records of all patients diagnosed with vasculitis and solid tumors within 12 months of each other and prospectively followed until death or our report. We analyzed the main features and outcome of vasculitis in this setting. We also reviewed all cases published in the French-English literature.\nRESULTS: Fifteen patients (9 men and 6 women) in whom both vasculitis and solid tumor occurred within the same 12 months were identified. Mean age was 72.5 years (range 58-84). In 7 cases the diagnosis of vasculitis antedated that of cancer, in 6 both processes were synchronously diagnosed, and in 2 vasculitis appeared after cancer diagnosis. The most common vasculitis was cutaneous leukocytoclastic vasculitis (n = 9). Other vasculitides included Henoch-Shönlein purpura (n = 2), polyarteritis nodosa (n = 1), and giant cell arteritis (n = 3). The commonest malignancies were carcinomas of urinary organs (40%), lung (26.7%), and gastrointestinal tract (26.7%). The median followup was 28.4 months (range 1-96). Thirteen of the 15 patients demonstrated concordance of disease activity and treatment response for both cancer and vasculitis. Vasculitis flared heralding tumor recurrence or progression in 7 (46.6%) cases.\nCONCLUSION: In our patients, resolution of vasculitis following effective treatment of the putatively linked malignancy, and recurrence of vasculitis heralding tumor recurrence or progression, provide strong evidence for vasculitis being a true paraneoplastic syndrome. Chronic or persistent vasculitis with poor response to usually effective therapy, especially in elderly patients, should raise questions about underlying malignancy.","ISSN":"0315-162X","note":"PMID: 18085729","shortTitle":"Paraneoplastic vasculitis in patients with solid tumors","journalAbbreviation":"J. Rheumatol.","language":"eng","author":[{"family":"Solans-Laqué","given":"Roser"},{"family":"Bosch-Gil","given":"Josep Angel"},{"family":"Pérez-Bocanegra","given":"Carmen"},{"family":"Selva-O'Callaghan","given":"Albert"},{"family":"Simeón-Aznar","given":"Carmen P."},{"family":"Vilardell-Tarres","given":"Miquel"}],"issued":{"date-parts":[["2008",2]]}}}],"schema":"https://github.com/citation-style-language/schema/raw/master/csl-citation.json"} </w:instrText>
      </w:r>
      <w:r w:rsidR="00E835BC">
        <w:rPr>
          <w:b/>
          <w:lang w:val="fr-FR"/>
        </w:rPr>
        <w:fldChar w:fldCharType="separate"/>
      </w:r>
      <w:r w:rsidR="00E835BC" w:rsidRPr="00E835BC">
        <w:rPr>
          <w:lang w:val="fr-FR"/>
        </w:rPr>
        <w:t>[7]</w:t>
      </w:r>
      <w:r w:rsidR="00E835BC">
        <w:rPr>
          <w:b/>
          <w:lang w:val="fr-FR"/>
        </w:rPr>
        <w:fldChar w:fldCharType="end"/>
      </w:r>
      <w:r w:rsidRPr="00132BD0">
        <w:rPr>
          <w:lang w:val="fr-FR"/>
        </w:rPr>
        <w:t>: vascularite</w:t>
      </w:r>
      <w:r w:rsidR="00E835BC">
        <w:rPr>
          <w:lang w:val="fr-FR"/>
        </w:rPr>
        <w:t>s</w:t>
      </w:r>
      <w:r w:rsidR="00BA2C3D" w:rsidRPr="00132BD0">
        <w:rPr>
          <w:lang w:val="fr-FR"/>
        </w:rPr>
        <w:t xml:space="preserve"> associées à un cancer</w:t>
      </w:r>
      <w:r w:rsidR="00E835BC">
        <w:rPr>
          <w:lang w:val="fr-FR"/>
        </w:rPr>
        <w:t xml:space="preserve"> de type vascularite </w:t>
      </w:r>
      <w:proofErr w:type="spellStart"/>
      <w:r w:rsidR="00E835BC">
        <w:rPr>
          <w:lang w:val="fr-FR"/>
        </w:rPr>
        <w:t>leucocytoclasique</w:t>
      </w:r>
      <w:proofErr w:type="spellEnd"/>
      <w:r w:rsidR="00E835BC">
        <w:rPr>
          <w:lang w:val="fr-FR"/>
        </w:rPr>
        <w:t xml:space="preserve">, vascularite à </w:t>
      </w:r>
      <w:proofErr w:type="spellStart"/>
      <w:r w:rsidR="00E835BC">
        <w:rPr>
          <w:lang w:val="fr-FR"/>
        </w:rPr>
        <w:t>IgA</w:t>
      </w:r>
      <w:proofErr w:type="spellEnd"/>
      <w:r w:rsidR="00E835BC">
        <w:rPr>
          <w:lang w:val="fr-FR"/>
        </w:rPr>
        <w:t xml:space="preserve"> ou </w:t>
      </w:r>
      <w:r w:rsidR="00A514C3">
        <w:rPr>
          <w:lang w:val="fr-FR"/>
        </w:rPr>
        <w:t xml:space="preserve">purpura de </w:t>
      </w:r>
      <w:proofErr w:type="spellStart"/>
      <w:r w:rsidR="00E835BC">
        <w:rPr>
          <w:lang w:val="fr-FR"/>
        </w:rPr>
        <w:t>Henoch-Shönlein</w:t>
      </w:r>
      <w:proofErr w:type="spellEnd"/>
      <w:r w:rsidR="00E835BC">
        <w:rPr>
          <w:lang w:val="fr-FR"/>
        </w:rPr>
        <w:t xml:space="preserve">, </w:t>
      </w:r>
      <w:proofErr w:type="spellStart"/>
      <w:r w:rsidR="00A514C3">
        <w:rPr>
          <w:lang w:val="fr-FR"/>
        </w:rPr>
        <w:t>pérartérite</w:t>
      </w:r>
      <w:proofErr w:type="spellEnd"/>
      <w:r w:rsidR="00A514C3">
        <w:rPr>
          <w:lang w:val="fr-FR"/>
        </w:rPr>
        <w:t xml:space="preserve"> noueuse (</w:t>
      </w:r>
      <w:proofErr w:type="spellStart"/>
      <w:r w:rsidR="00E835BC">
        <w:rPr>
          <w:lang w:val="fr-FR"/>
        </w:rPr>
        <w:t>polarteritis</w:t>
      </w:r>
      <w:proofErr w:type="spellEnd"/>
      <w:r w:rsidR="00E835BC">
        <w:rPr>
          <w:lang w:val="fr-FR"/>
        </w:rPr>
        <w:t xml:space="preserve"> </w:t>
      </w:r>
      <w:proofErr w:type="spellStart"/>
      <w:r w:rsidR="00E835BC">
        <w:rPr>
          <w:lang w:val="fr-FR"/>
        </w:rPr>
        <w:t>nodosa</w:t>
      </w:r>
      <w:proofErr w:type="spellEnd"/>
      <w:r w:rsidR="00A514C3">
        <w:rPr>
          <w:lang w:val="fr-FR"/>
        </w:rPr>
        <w:t>)</w:t>
      </w:r>
      <w:r w:rsidR="00E835BC">
        <w:rPr>
          <w:lang w:val="fr-FR"/>
        </w:rPr>
        <w:t xml:space="preserve">, </w:t>
      </w:r>
      <w:r w:rsidR="00A514C3">
        <w:rPr>
          <w:lang w:val="fr-FR"/>
        </w:rPr>
        <w:t>artérite à cellules géantes (</w:t>
      </w:r>
      <w:proofErr w:type="spellStart"/>
      <w:r w:rsidR="00E835BC">
        <w:rPr>
          <w:lang w:val="fr-FR"/>
        </w:rPr>
        <w:t>giant</w:t>
      </w:r>
      <w:proofErr w:type="spellEnd"/>
      <w:r w:rsidR="00E835BC">
        <w:rPr>
          <w:lang w:val="fr-FR"/>
        </w:rPr>
        <w:t xml:space="preserve"> </w:t>
      </w:r>
      <w:proofErr w:type="spellStart"/>
      <w:r w:rsidR="00E835BC">
        <w:rPr>
          <w:lang w:val="fr-FR"/>
        </w:rPr>
        <w:t>cell</w:t>
      </w:r>
      <w:proofErr w:type="spellEnd"/>
      <w:r w:rsidR="00E835BC">
        <w:rPr>
          <w:lang w:val="fr-FR"/>
        </w:rPr>
        <w:t xml:space="preserve"> </w:t>
      </w:r>
      <w:proofErr w:type="spellStart"/>
      <w:r w:rsidR="00E835BC">
        <w:rPr>
          <w:lang w:val="fr-FR"/>
        </w:rPr>
        <w:t>arteritis</w:t>
      </w:r>
      <w:proofErr w:type="spellEnd"/>
      <w:r w:rsidR="00A514C3">
        <w:rPr>
          <w:lang w:val="fr-FR"/>
        </w:rPr>
        <w:t>)</w:t>
      </w:r>
      <w:r w:rsidR="00BB5FFB">
        <w:rPr>
          <w:lang w:val="fr-FR"/>
        </w:rPr>
        <w:t xml:space="preserve">, sclérodermie </w:t>
      </w:r>
      <w:r w:rsidR="00A514C3">
        <w:rPr>
          <w:lang w:val="fr-FR"/>
        </w:rPr>
        <w:t>paranéoplasique</w:t>
      </w:r>
      <w:r w:rsidR="00BB5FFB">
        <w:rPr>
          <w:lang w:val="fr-FR"/>
        </w:rPr>
        <w:fldChar w:fldCharType="begin"/>
      </w:r>
      <w:r w:rsidR="00BB5FFB">
        <w:rPr>
          <w:lang w:val="fr-FR"/>
        </w:rPr>
        <w:instrText xml:space="preserve"> ADDIN ZOTERO_ITEM CSL_CITATION {"citationID":"LeOnbYf9","properties":{"formattedCitation":"[8, 9]","plainCitation":"[8, 9]","noteIndex":0},"citationItems":[{"id":1823,"uris":["http://zotero.org/users/188152/items/63B9ZT6R"],"uri":["http://zotero.org/users/188152/items/63B9ZT6R"],"itemData":{"id":1823,"type":"article-journal","title":"Association between systemic sclerosis and breast cancer: eight new cases and review of the literature","container-title":"Clinical Rheumatology","page":"516-522","volume":"23","issue":"6","source":"PubMed","abstract":"Several studies have demonstrated an increased frequency of cancer in patients with systemic sclerosis (SSc), specially lung and breast cancers. The pathogenesis of the association between SSc and cancer is not fully established. The aim of this study was to describe new cases of the association between SSc and breast cancer and to perform a review of the literature. We retrospectively studied the medical files of eight patients followed in our institution for SSc and breast cancer. We analyzed them with data available in the literature for a total of 46 patients. Cutaneous extension of SSc was clearly mentioned in 17 cases: the SSc was limited in 10 cases and diffuse in 7 cases The median age at the diagnosis of cancer was 54 years (range: 40-71). The median duration between SSc onset and breast cancer diagnosis was 11.5 months (range: 0-288). The duration between SSc onset and breast cancer diagnosis was &lt; or = 12 months in 27 of 44 patients (61.4%), and in 11 (25%) of them the diagnosis of both diseases was made simultaneously. It was clearly mentioned for 35 patients whether the diagnosis of breast cancer was made before or after the onset of SSc. The diagnosis of breast cancer was made before SSc onset in 17 of 35 patients (48.6%) and after SSc onset in 18 of 35 patients (51.4%). For 33 patients, the follow-up was available: 18 (54.5%) died, 11 (33.3%) of them within the 1st year after the diagnosis of the cancer. For none of the patients did the anticancer treatment improve the SSc. The close temporal relationship between SSc onset and breast cancer diagnosis is highly suggestive of a pathophysiological link. SSc is probably not a paraneoplastic disease since the anticancer treatment has no influence on the evolution of SSc. However, it can be suggested that SSc could be a disease facilitating breast cancer and/or metastases development.","ISSN":"0770-3198","note":"PMID: 15801071","shortTitle":"Association between systemic sclerosis and breast cancer","journalAbbreviation":"Clin. Rheumatol.","language":"eng","author":[{"family":"Launay","given":"David"},{"family":"Le Berre","given":"Rozenn"},{"family":"Hatron","given":"Pierre-Yves"},{"family":"Peyrat","given":"Jean-Philippe"},{"family":"Hachulla","given":"Eric"},{"family":"Devulder","given":"Bernard"},{"family":"Hebbar","given":"Mohamed"}],"issued":{"date-parts":[["2004",12]]}}},{"id":1821,"uris":["http://zotero.org/users/188152/items/WWQBSKYH"],"uri":["http://zotero.org/users/188152/items/WWQBSKYH"],"itemData":{"id":1821,"type":"article-journal","title":"Paraneoplastic systemic sclerosis: About 3 cases and review of literature","container-title":"Journal Des Maladies Vasculaires","page":"365-370","volume":"41","issue":"6","source":"PubMed","abstract":"OBJECTIVE: Association between cancer and systemic sclerosis (SSc) has been described. However, paraneoplastic SSc is not well known. The aim of this article is to describe cases of paraneoplastic systemic sclerosis and to compare them to other cases of the literature, to find characteristics that can make suspect a paraneoplastic mechanism when SSc is diagnosed.\nMETHODS: We retrospectively analyzed patients, in our department who, over the last 15 years, presented with Raynaud's phenomenon with a diagnosis of SSc (including cancer during the period of SSc). Treatment of cancer had to be concomitted with an improvement of sclerosis and/or negativation of antinuclear antibodies. Review analysis of other cases was made with Pubmed.\nRESULTS: Three patients responded to the criteria. Two of them had an ovarian cancer with peritoneal carcinomatosis and a concomitted SSc. One had a colon cancer with an ovarian metastasis diagnosed 1 year before SSc. None of them had anti-ENA antibody. One had a normal capillaroscopy. After treatment of cancer, all of them had an improvement of sclerosis and a negativation of antinuclear antibodies.\nCONCLUSION: We believe that physicians should be aware of paraneoplastic SSc when presentation of SSc is atypical: no anti-ENA (anti-SCl70 or anti-centromere) or normal capillaroscopy, in particular gynecologic cancer in women.","DOI":"10.1016/j.jmv.2016.07.001","ISSN":"2214-8116","note":"PMID: 27751625","shortTitle":"Paraneoplastic systemic sclerosis","journalAbbreviation":"J Mal Vasc","language":"eng","author":[{"family":"Monfort","given":"J.-B."},{"family":"Lazareth","given":"I."},{"family":"Priollet","given":"P."}],"issued":{"date-parts":[["2016",12]]}}}],"schema":"https://github.com/citation-style-language/schema/raw/master/csl-citation.json"} </w:instrText>
      </w:r>
      <w:r w:rsidR="00BB5FFB">
        <w:rPr>
          <w:lang w:val="fr-FR"/>
        </w:rPr>
        <w:fldChar w:fldCharType="separate"/>
      </w:r>
      <w:r w:rsidR="00BB5FFB" w:rsidRPr="00BB5FFB">
        <w:rPr>
          <w:lang w:val="fr-FR"/>
        </w:rPr>
        <w:t>[8, 9]</w:t>
      </w:r>
      <w:r w:rsidR="00BB5FFB">
        <w:rPr>
          <w:lang w:val="fr-FR"/>
        </w:rPr>
        <w:fldChar w:fldCharType="end"/>
      </w:r>
    </w:p>
    <w:p w14:paraId="7EB877F1" w14:textId="77777777" w:rsidR="00F9709D" w:rsidRPr="00132BD0" w:rsidRDefault="00976679" w:rsidP="00CF3797">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D81EEF">
        <w:rPr>
          <w:b/>
          <w:lang w:val="fr-FR"/>
        </w:rPr>
        <w:t>SPN cutanés :</w:t>
      </w:r>
      <w:r w:rsidRPr="00132BD0">
        <w:rPr>
          <w:lang w:val="fr-FR"/>
        </w:rPr>
        <w:t xml:space="preserve"> </w:t>
      </w:r>
      <w:r w:rsidR="00BA2C3D" w:rsidRPr="00132BD0">
        <w:rPr>
          <w:lang w:val="fr-FR"/>
        </w:rPr>
        <w:t>dermatomyosite</w:t>
      </w:r>
      <w:r w:rsidR="007C2E02">
        <w:rPr>
          <w:lang w:val="fr-FR"/>
        </w:rPr>
        <w:t xml:space="preserve"> paranéoplasique</w:t>
      </w:r>
      <w:r w:rsidR="007C2E02">
        <w:rPr>
          <w:lang w:val="fr-FR"/>
        </w:rPr>
        <w:fldChar w:fldCharType="begin"/>
      </w:r>
      <w:r w:rsidR="007C2E02">
        <w:rPr>
          <w:lang w:val="fr-FR"/>
        </w:rPr>
        <w:instrText xml:space="preserve"> ADDIN ZOTERO_ITEM CSL_CITATION {"citationID":"MitIIwWm","properties":{"formattedCitation":"[10]","plainCitation":"[10]","noteIndex":0},"citationItems":[{"id":1828,"uris":["http://zotero.org/users/188152/items/8BRQHJHC"],"uri":["http://zotero.org/users/188152/items/8BRQHJHC"],"itemData":{"id":1828,"type":"article-journal","title":"Factors associated with underlying malignancy in a retrospective cohort of 121 patients with dermatomyositis","container-title":"Medicine","page":"91-97","volume":"88","issue":"2","source":"PubMed","abstract":"Demographic, clinical, and laboratory features that predict underlying malignancy in patients with dermatomyositis (DM) are poorly known. We conducted a retrospective study in all adult patients with a definite (n = 75) or probable (n = 32) diagnosis of DM according to Bohan and Peter criteria or with amyopathic DM (n = 14) who were referred to 2 departments during a 13-year period. The diagnosis of malignancy-associated DM was retained if DM occurred in a context of recently diagnosed malignancy or if a malignancy was diagnosed during the 5 years following the diagnosis of DM. The Kaplan-Meier method was used to assess the cumulative incidence rates of underlying malignancy during the first 5 years of DM. Factors associated with malignancy in patients with DM were identified by Cox proportional hazards models. During the study period, 121 patients fulfilled the inclusion criteria (median age, 52 yr; range, 19-77 yr; women: 70%). For 29 of them, the diagnosis of malignancy-associated DM was retained. The cumulative incidence rate of malignancy was 21 +/- 4% and 28 +/- 5%, 1 year and 5 years after the diagnosis of DM, respectively. The median duration of follow-up of the 92 patients with no malignancy diagnosed was 36 months (range, 1-140 mo). In multivariate analysis, independent factors associated with an underlying malignancy in patients with DM were an age at diagnosis &gt;52 years (hazard ratio [HR], 7.24; 95% confidence interval [CI], 2.35-22.31), a rapid onset of skin and/or muscular symptoms (HR, 3.11; 95% CI, 1.07-9.02), the presence of skin necrosis (HR, 3.84; 95% CI, 1.00-14.85) or periungual erythema (HR, 3.93; 95% CI, 1.16-13.24), and a low baseline level of complement factor C4 (HR, 2.74; 95% CI, 1.11-6.75). Lastly, low baseline lymphocyte count (&lt;1500/mm(3)) was a protective factor of malignancy (HR, 0.33; 95% CI, 0.14-0.80). Taken together, these data may help physicians focus on a group of patients who might benefit from extensive evaluation for malignancy.","DOI":"10.1097/MD.0b013e31819da352","ISSN":"1536-5964","note":"PMID: 19282699","journalAbbreviation":"Medicine (Baltimore)","language":"eng","author":[{"family":"Fardet","given":"Laurence"},{"family":"Dupuy","given":"Alain"},{"family":"Gain","given":"Murielle"},{"family":"Kettaneh","given":"Adrien"},{"family":"Chérin","given":"Patrick"},{"family":"Bachelez","given":"Hervé"},{"family":"Dubertret","given":"Louis"},{"family":"Lebbe","given":"Celeste"},{"family":"Morel","given":"Patrice"},{"family":"Rybojad","given":"Michel"}],"issued":{"date-parts":[["2009",3]]}}}],"schema":"https://github.com/citation-style-language/schema/raw/master/csl-citation.json"} </w:instrText>
      </w:r>
      <w:r w:rsidR="007C2E02">
        <w:rPr>
          <w:lang w:val="fr-FR"/>
        </w:rPr>
        <w:fldChar w:fldCharType="separate"/>
      </w:r>
      <w:r w:rsidR="007C2E02" w:rsidRPr="007C2E02">
        <w:rPr>
          <w:lang w:val="fr-FR"/>
        </w:rPr>
        <w:t>[10]</w:t>
      </w:r>
      <w:r w:rsidR="007C2E02">
        <w:rPr>
          <w:lang w:val="fr-FR"/>
        </w:rPr>
        <w:fldChar w:fldCharType="end"/>
      </w:r>
      <w:r w:rsidR="00BA2C3D" w:rsidRPr="00132BD0">
        <w:rPr>
          <w:lang w:val="fr-FR"/>
        </w:rPr>
        <w:t>, pemphigus</w:t>
      </w:r>
      <w:r w:rsidR="00A514C3">
        <w:rPr>
          <w:lang w:val="fr-FR"/>
        </w:rPr>
        <w:t xml:space="preserve"> paranéoplasique</w:t>
      </w:r>
      <w:r w:rsidR="00BA2C3D" w:rsidRPr="00132BD0">
        <w:rPr>
          <w:lang w:val="fr-FR"/>
        </w:rPr>
        <w:t xml:space="preserve">, </w:t>
      </w:r>
      <w:proofErr w:type="spellStart"/>
      <w:r w:rsidR="00F9709D" w:rsidRPr="00132BD0">
        <w:rPr>
          <w:lang w:val="fr-FR"/>
        </w:rPr>
        <w:t>acanthosis</w:t>
      </w:r>
      <w:proofErr w:type="spellEnd"/>
      <w:r w:rsidR="00F9709D" w:rsidRPr="00132BD0">
        <w:rPr>
          <w:lang w:val="fr-FR"/>
        </w:rPr>
        <w:t xml:space="preserve"> </w:t>
      </w:r>
      <w:proofErr w:type="spellStart"/>
      <w:r w:rsidR="00F9709D" w:rsidRPr="00132BD0">
        <w:rPr>
          <w:lang w:val="fr-FR"/>
        </w:rPr>
        <w:t>nigricans</w:t>
      </w:r>
      <w:proofErr w:type="spellEnd"/>
      <w:r w:rsidR="00BA2C3D" w:rsidRPr="00132BD0">
        <w:rPr>
          <w:lang w:val="fr-FR"/>
        </w:rPr>
        <w:t xml:space="preserve"> définis selon les critères de </w:t>
      </w:r>
      <w:proofErr w:type="spellStart"/>
      <w:r w:rsidR="00BA2C3D" w:rsidRPr="00132BD0">
        <w:rPr>
          <w:lang w:val="fr-FR"/>
        </w:rPr>
        <w:t>Curth</w:t>
      </w:r>
      <w:proofErr w:type="spellEnd"/>
      <w:r w:rsidR="00BB5FFB">
        <w:rPr>
          <w:lang w:val="fr-FR"/>
        </w:rPr>
        <w:fldChar w:fldCharType="begin"/>
      </w:r>
      <w:r w:rsidR="007C2E02">
        <w:rPr>
          <w:lang w:val="fr-FR"/>
        </w:rPr>
        <w:instrText xml:space="preserve"> ADDIN ZOTERO_ITEM CSL_CITATION {"citationID":"42lsiTIa","properties":{"formattedCitation":"[11]","plainCitation":"[11]","noteIndex":0},"citationItems":[{"id":1825,"uris":["http://zotero.org/users/188152/items/CI5GQZVL"],"uri":["http://zotero.org/users/188152/items/CI5GQZVL"],"itemData":{"id":1825,"type":"article-journal","title":"Classification of acanthosis nigricans","container-title":"International Journal of Dermatology","page":"592-593","volume":"15","issue":"8","source":"PubMed","ISSN":"0011-9059","note":"PMID: 971978","journalAbbreviation":"Int. J. Dermatol.","language":"eng","author":[{"family":"Curth","given":"H. O."}],"issued":{"date-parts":[["1976",10]]}}}],"schema":"https://github.com/citation-style-language/schema/raw/master/csl-citation.json"} </w:instrText>
      </w:r>
      <w:r w:rsidR="00BB5FFB">
        <w:rPr>
          <w:lang w:val="fr-FR"/>
        </w:rPr>
        <w:fldChar w:fldCharType="separate"/>
      </w:r>
      <w:r w:rsidR="007C2E02" w:rsidRPr="007C2E02">
        <w:rPr>
          <w:lang w:val="fr-FR"/>
        </w:rPr>
        <w:t>[11]</w:t>
      </w:r>
      <w:r w:rsidR="00BB5FFB">
        <w:rPr>
          <w:lang w:val="fr-FR"/>
        </w:rPr>
        <w:fldChar w:fldCharType="end"/>
      </w:r>
      <w:r w:rsidR="00BB5FFB">
        <w:rPr>
          <w:lang w:val="fr-FR"/>
        </w:rPr>
        <w:t xml:space="preserve">, </w:t>
      </w:r>
      <w:r w:rsidR="00F9709D" w:rsidRPr="00132BD0">
        <w:rPr>
          <w:lang w:val="fr-FR"/>
        </w:rPr>
        <w:t>ichtyose</w:t>
      </w:r>
      <w:r w:rsidR="00BA2C3D" w:rsidRPr="00132BD0">
        <w:rPr>
          <w:lang w:val="fr-FR"/>
        </w:rPr>
        <w:t xml:space="preserve"> acquise</w:t>
      </w:r>
      <w:r w:rsidR="00A514C3">
        <w:rPr>
          <w:lang w:val="fr-FR"/>
        </w:rPr>
        <w:t xml:space="preserve">, </w:t>
      </w:r>
      <w:proofErr w:type="spellStart"/>
      <w:r w:rsidR="00A514C3">
        <w:rPr>
          <w:lang w:val="fr-FR"/>
        </w:rPr>
        <w:t>acrokératose</w:t>
      </w:r>
      <w:proofErr w:type="spellEnd"/>
      <w:r w:rsidR="00A514C3">
        <w:rPr>
          <w:lang w:val="fr-FR"/>
        </w:rPr>
        <w:t xml:space="preserve"> paranéoplasique de </w:t>
      </w:r>
      <w:proofErr w:type="spellStart"/>
      <w:r w:rsidR="00A514C3">
        <w:rPr>
          <w:lang w:val="fr-FR"/>
        </w:rPr>
        <w:t>Bazex</w:t>
      </w:r>
      <w:proofErr w:type="spellEnd"/>
      <w:r w:rsidR="00A514C3">
        <w:rPr>
          <w:lang w:val="fr-FR"/>
        </w:rPr>
        <w:t xml:space="preserve">, </w:t>
      </w:r>
      <w:proofErr w:type="spellStart"/>
      <w:r w:rsidR="00A514C3">
        <w:rPr>
          <w:lang w:val="fr-FR"/>
        </w:rPr>
        <w:t>erythema</w:t>
      </w:r>
      <w:proofErr w:type="spellEnd"/>
      <w:r w:rsidR="00A514C3">
        <w:rPr>
          <w:lang w:val="fr-FR"/>
        </w:rPr>
        <w:t xml:space="preserve"> </w:t>
      </w:r>
      <w:proofErr w:type="spellStart"/>
      <w:r w:rsidR="00A514C3">
        <w:rPr>
          <w:lang w:val="fr-FR"/>
        </w:rPr>
        <w:t>gyratum</w:t>
      </w:r>
      <w:proofErr w:type="spellEnd"/>
      <w:r w:rsidR="00A514C3">
        <w:rPr>
          <w:lang w:val="fr-FR"/>
        </w:rPr>
        <w:t xml:space="preserve"> repens, dermatoses </w:t>
      </w:r>
      <w:proofErr w:type="spellStart"/>
      <w:r w:rsidR="00A514C3">
        <w:rPr>
          <w:lang w:val="fr-FR"/>
        </w:rPr>
        <w:t>neutrophilique</w:t>
      </w:r>
      <w:proofErr w:type="spellEnd"/>
      <w:r w:rsidR="00A514C3">
        <w:rPr>
          <w:lang w:val="fr-FR"/>
        </w:rPr>
        <w:t xml:space="preserve"> ou</w:t>
      </w:r>
      <w:r w:rsidR="00A514C3" w:rsidRPr="00132BD0">
        <w:rPr>
          <w:lang w:val="fr-FR"/>
        </w:rPr>
        <w:t xml:space="preserve"> syndrome</w:t>
      </w:r>
      <w:r w:rsidR="00BA2C3D" w:rsidRPr="00132BD0">
        <w:rPr>
          <w:lang w:val="fr-FR"/>
        </w:rPr>
        <w:t xml:space="preserve"> de </w:t>
      </w:r>
      <w:proofErr w:type="spellStart"/>
      <w:r w:rsidR="00092142">
        <w:rPr>
          <w:lang w:val="fr-FR"/>
        </w:rPr>
        <w:t>S</w:t>
      </w:r>
      <w:r w:rsidR="00BA2C3D" w:rsidRPr="00132BD0">
        <w:rPr>
          <w:lang w:val="fr-FR"/>
        </w:rPr>
        <w:t>weet</w:t>
      </w:r>
      <w:proofErr w:type="spellEnd"/>
      <w:r w:rsidR="00BA2C3D" w:rsidRPr="00132BD0">
        <w:rPr>
          <w:lang w:val="fr-FR"/>
        </w:rPr>
        <w:t>.</w:t>
      </w:r>
    </w:p>
    <w:p w14:paraId="4BF4F32B" w14:textId="77777777" w:rsidR="00F17442" w:rsidRPr="00FB31B5" w:rsidRDefault="00976679" w:rsidP="00FB31B5">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D81EEF">
        <w:rPr>
          <w:b/>
          <w:lang w:val="fr-FR"/>
        </w:rPr>
        <w:t>SPN hématologiques :</w:t>
      </w:r>
      <w:r w:rsidRPr="00132BD0">
        <w:rPr>
          <w:lang w:val="fr-FR"/>
        </w:rPr>
        <w:t xml:space="preserve"> cyt</w:t>
      </w:r>
      <w:r w:rsidR="00BA2C3D" w:rsidRPr="00132BD0">
        <w:rPr>
          <w:lang w:val="fr-FR"/>
        </w:rPr>
        <w:t>opénies immunologiques associées aux thymomes</w:t>
      </w:r>
      <w:r w:rsidR="00D81EEF">
        <w:rPr>
          <w:lang w:val="fr-FR"/>
        </w:rPr>
        <w:t xml:space="preserve"> ou au</w:t>
      </w:r>
      <w:r w:rsidR="00BB5FFB">
        <w:rPr>
          <w:lang w:val="fr-FR"/>
        </w:rPr>
        <w:t>x</w:t>
      </w:r>
      <w:r w:rsidR="00D81EEF">
        <w:rPr>
          <w:lang w:val="fr-FR"/>
        </w:rPr>
        <w:t xml:space="preserve"> hémopathies lymphoïdes.</w:t>
      </w:r>
    </w:p>
    <w:p w14:paraId="3070BF14" w14:textId="77777777" w:rsidR="00976679" w:rsidRPr="00D81EEF" w:rsidRDefault="00976679" w:rsidP="00CF3797">
      <w:pPr>
        <w:numPr>
          <w:ilvl w:val="0"/>
          <w:numId w:val="13"/>
        </w:numPr>
        <w:pBdr>
          <w:top w:val="single" w:sz="4" w:space="1" w:color="auto"/>
          <w:left w:val="single" w:sz="4" w:space="4" w:color="auto"/>
          <w:bottom w:val="single" w:sz="4" w:space="1" w:color="auto"/>
          <w:right w:val="single" w:sz="4" w:space="4" w:color="auto"/>
        </w:pBdr>
        <w:jc w:val="both"/>
        <w:rPr>
          <w:lang w:val="fr-FR"/>
        </w:rPr>
      </w:pPr>
      <w:r w:rsidRPr="00D81EEF">
        <w:rPr>
          <w:b/>
          <w:lang w:val="fr-FR"/>
        </w:rPr>
        <w:t>Autres</w:t>
      </w:r>
      <w:r w:rsidR="00FB31B5" w:rsidRPr="00D81EEF">
        <w:rPr>
          <w:lang w:val="fr-FR"/>
        </w:rPr>
        <w:t xml:space="preserve"> </w:t>
      </w:r>
      <w:r w:rsidR="00D81EEF" w:rsidRPr="00D81EEF">
        <w:rPr>
          <w:lang w:val="fr-FR"/>
        </w:rPr>
        <w:t>SPN</w:t>
      </w:r>
    </w:p>
    <w:p w14:paraId="561C8A4E" w14:textId="77777777" w:rsidR="00107BF0" w:rsidRDefault="001122A3" w:rsidP="00107BF0">
      <w:pPr>
        <w:rPr>
          <w:lang w:val="fr-FR"/>
        </w:rPr>
      </w:pPr>
      <w:r>
        <w:rPr>
          <w:lang w:val="fr-FR"/>
        </w:rPr>
        <w:t>SPN </w:t>
      </w:r>
      <w:r w:rsidR="00E10DE5">
        <w:rPr>
          <w:lang w:val="fr-FR"/>
        </w:rPr>
        <w:t>=</w:t>
      </w:r>
      <w:r>
        <w:rPr>
          <w:lang w:val="fr-FR"/>
        </w:rPr>
        <w:t xml:space="preserve"> Syndrome Paranéoplasique</w:t>
      </w:r>
    </w:p>
    <w:p w14:paraId="62EBF3C5" w14:textId="77777777" w:rsidR="00CD463B" w:rsidRDefault="00CD463B" w:rsidP="00107BF0">
      <w:pPr>
        <w:rPr>
          <w:lang w:val="fr-FR"/>
        </w:rPr>
      </w:pPr>
    </w:p>
    <w:p w14:paraId="69CA8C59" w14:textId="77777777" w:rsidR="001044A3" w:rsidRPr="00A70A6A" w:rsidRDefault="001044A3" w:rsidP="00107BF0">
      <w:pPr>
        <w:rPr>
          <w:b/>
          <w:i/>
          <w:lang w:val="fr-FR"/>
        </w:rPr>
      </w:pPr>
      <w:proofErr w:type="gramStart"/>
      <w:r w:rsidRPr="00A70A6A">
        <w:rPr>
          <w:b/>
          <w:i/>
          <w:lang w:val="fr-FR"/>
        </w:rPr>
        <w:t>Références</w:t>
      </w:r>
      <w:proofErr w:type="gramEnd"/>
      <w:r w:rsidRPr="00A70A6A">
        <w:rPr>
          <w:b/>
          <w:i/>
          <w:lang w:val="fr-FR"/>
        </w:rPr>
        <w:t> :</w:t>
      </w:r>
    </w:p>
    <w:p w14:paraId="6CE075BE" w14:textId="77777777" w:rsidR="007C2E02" w:rsidRPr="007C2E02" w:rsidRDefault="00CD463B" w:rsidP="007C2E02">
      <w:pPr>
        <w:pStyle w:val="Bibliographie"/>
      </w:pPr>
      <w:r>
        <w:rPr>
          <w:lang w:val="fr-FR"/>
        </w:rPr>
        <w:fldChar w:fldCharType="begin"/>
      </w:r>
      <w:r>
        <w:rPr>
          <w:lang w:val="fr-FR"/>
        </w:rPr>
        <w:instrText xml:space="preserve"> ADDIN ZOTERO_BIBL {"uncited":[],"omitted":[],"custom":[]} CSL_BIBLIOGRAPHY </w:instrText>
      </w:r>
      <w:r>
        <w:rPr>
          <w:lang w:val="fr-FR"/>
        </w:rPr>
        <w:fldChar w:fldCharType="separate"/>
      </w:r>
      <w:r w:rsidR="007C2E02" w:rsidRPr="007C2E02">
        <w:rPr>
          <w:lang w:val="fr-FR"/>
        </w:rPr>
        <w:t xml:space="preserve">1. </w:t>
      </w:r>
      <w:r w:rsidR="007C2E02" w:rsidRPr="007C2E02">
        <w:rPr>
          <w:lang w:val="fr-FR"/>
        </w:rPr>
        <w:tab/>
        <w:t xml:space="preserve">Champiat S, Lambotte O, Barreau E et al. </w:t>
      </w:r>
      <w:r w:rsidR="007C2E02" w:rsidRPr="007C2E02">
        <w:t>Management of immune checkpoint blockade dysimmune toxicities: a collaborative position paper. Ann. Oncol. Off. J. Eur. Soc. Med. Oncol. ESMO 2016; 27(4):559–574.</w:t>
      </w:r>
    </w:p>
    <w:p w14:paraId="32B7316C" w14:textId="77777777" w:rsidR="007C2E02" w:rsidRPr="007C2E02" w:rsidRDefault="007C2E02" w:rsidP="007C2E02">
      <w:pPr>
        <w:pStyle w:val="Bibliographie"/>
      </w:pPr>
      <w:r w:rsidRPr="007C2E02">
        <w:rPr>
          <w:lang w:val="fr-FR"/>
        </w:rPr>
        <w:t xml:space="preserve">2. </w:t>
      </w:r>
      <w:r w:rsidRPr="007C2E02">
        <w:rPr>
          <w:lang w:val="fr-FR"/>
        </w:rPr>
        <w:tab/>
        <w:t xml:space="preserve">Danlos F-X, Voisin A-L, Dyevre V et al. </w:t>
      </w:r>
      <w:r w:rsidRPr="007C2E02">
        <w:t>Safety and efficacy of anti-programmed death 1 antibodies in patients with cancer and pre-existing autoimmune or inflammatory disease. Eur. J. Cancer Oxf. Engl. 1990 2018; 91:21–29.</w:t>
      </w:r>
    </w:p>
    <w:p w14:paraId="27C3D01C" w14:textId="77777777" w:rsidR="007C2E02" w:rsidRPr="007C2E02" w:rsidRDefault="007C2E02" w:rsidP="007C2E02">
      <w:pPr>
        <w:pStyle w:val="Bibliographie"/>
      </w:pPr>
      <w:r w:rsidRPr="007C2E02">
        <w:t xml:space="preserve">3. </w:t>
      </w:r>
      <w:r w:rsidRPr="007C2E02">
        <w:tab/>
        <w:t>Michot JM, Bigenwald C, Champiat S et al. Immune-related adverse events with immune checkpoint blockade: a comprehensive review. Eur. J. Cancer Oxf. Engl. 1990 2016; 54:139–148.</w:t>
      </w:r>
    </w:p>
    <w:p w14:paraId="2FA5057D" w14:textId="77777777" w:rsidR="007C2E02" w:rsidRPr="007C2E02" w:rsidRDefault="007C2E02" w:rsidP="007C2E02">
      <w:pPr>
        <w:pStyle w:val="Bibliographie"/>
      </w:pPr>
      <w:r w:rsidRPr="007C2E02">
        <w:t xml:space="preserve">4. </w:t>
      </w:r>
      <w:r w:rsidRPr="007C2E02">
        <w:tab/>
        <w:t>Bacchetta J, Juillard L, Cochat P, Droz J-P. Paraneoplastic glomerular diseases and malignancies. Crit. Rev. Oncol. Hematol. 2009; 70(1):39–58.</w:t>
      </w:r>
    </w:p>
    <w:p w14:paraId="3BEB4C35" w14:textId="77777777" w:rsidR="007C2E02" w:rsidRPr="007C2E02" w:rsidRDefault="007C2E02" w:rsidP="007C2E02">
      <w:pPr>
        <w:pStyle w:val="Bibliographie"/>
      </w:pPr>
      <w:r w:rsidRPr="007C2E02">
        <w:t xml:space="preserve">5. </w:t>
      </w:r>
      <w:r w:rsidRPr="007C2E02">
        <w:tab/>
        <w:t>Giometto B, Grisold W, Vitaliani R et al. Paraneoplastic neurologic syndrome in the PNS Euronetwork database: a European study from 20 centers. Arch. Neurol. 2010; 67(3):330–335.</w:t>
      </w:r>
    </w:p>
    <w:p w14:paraId="445E9678" w14:textId="77777777" w:rsidR="007C2E02" w:rsidRPr="007C2E02" w:rsidRDefault="007C2E02" w:rsidP="007C2E02">
      <w:pPr>
        <w:pStyle w:val="Bibliographie"/>
        <w:rPr>
          <w:lang w:val="fr-FR"/>
        </w:rPr>
      </w:pPr>
      <w:r w:rsidRPr="007C2E02">
        <w:t xml:space="preserve">6. </w:t>
      </w:r>
      <w:r w:rsidRPr="007C2E02">
        <w:tab/>
        <w:t xml:space="preserve">Manger B, Schett G. Paraneoplastic syndromes in rheumatology. </w:t>
      </w:r>
      <w:r w:rsidRPr="007C2E02">
        <w:rPr>
          <w:lang w:val="fr-FR"/>
        </w:rPr>
        <w:t>Nat. Rev. Rheumatol. 2014; 10(11):662–670.</w:t>
      </w:r>
    </w:p>
    <w:p w14:paraId="12C6BE75" w14:textId="77777777" w:rsidR="007C2E02" w:rsidRPr="007C2E02" w:rsidRDefault="007C2E02" w:rsidP="007C2E02">
      <w:pPr>
        <w:pStyle w:val="Bibliographie"/>
        <w:rPr>
          <w:lang w:val="fr-FR"/>
        </w:rPr>
      </w:pPr>
      <w:r w:rsidRPr="007C2E02">
        <w:rPr>
          <w:lang w:val="fr-FR"/>
        </w:rPr>
        <w:lastRenderedPageBreak/>
        <w:t xml:space="preserve">7. </w:t>
      </w:r>
      <w:r w:rsidRPr="007C2E02">
        <w:rPr>
          <w:lang w:val="fr-FR"/>
        </w:rPr>
        <w:tab/>
        <w:t xml:space="preserve">Solans-Laqué R, Bosch-Gil JA, Pérez-Bocanegra C et al. </w:t>
      </w:r>
      <w:r w:rsidRPr="007C2E02">
        <w:t xml:space="preserve">Paraneoplastic vasculitis in patients with solid tumors: report of 15 cases. </w:t>
      </w:r>
      <w:r w:rsidRPr="007C2E02">
        <w:rPr>
          <w:lang w:val="fr-FR"/>
        </w:rPr>
        <w:t>J. Rheumatol. 2008; 35(2):294–304.</w:t>
      </w:r>
    </w:p>
    <w:p w14:paraId="5E0D2953" w14:textId="77777777" w:rsidR="007C2E02" w:rsidRPr="007C2E02" w:rsidRDefault="007C2E02" w:rsidP="007C2E02">
      <w:pPr>
        <w:pStyle w:val="Bibliographie"/>
      </w:pPr>
      <w:r w:rsidRPr="007C2E02">
        <w:rPr>
          <w:lang w:val="fr-FR"/>
        </w:rPr>
        <w:t xml:space="preserve">8. </w:t>
      </w:r>
      <w:r w:rsidRPr="007C2E02">
        <w:rPr>
          <w:lang w:val="fr-FR"/>
        </w:rPr>
        <w:tab/>
        <w:t xml:space="preserve">Launay D, Le Berre R, Hatron P-Y et al. </w:t>
      </w:r>
      <w:r w:rsidRPr="007C2E02">
        <w:t>Association between systemic sclerosis and breast cancer: eight new cases and review of the literature. Clin. Rheumatol. 2004; 23(6):516–522.</w:t>
      </w:r>
    </w:p>
    <w:p w14:paraId="3A78E071" w14:textId="77777777" w:rsidR="007C2E02" w:rsidRPr="007C2E02" w:rsidRDefault="007C2E02" w:rsidP="007C2E02">
      <w:pPr>
        <w:pStyle w:val="Bibliographie"/>
        <w:rPr>
          <w:lang w:val="fr-FR"/>
        </w:rPr>
      </w:pPr>
      <w:r w:rsidRPr="007C2E02">
        <w:t xml:space="preserve">9. </w:t>
      </w:r>
      <w:r w:rsidRPr="007C2E02">
        <w:tab/>
        <w:t xml:space="preserve">Monfort J-B, Lazareth I, Priollet P. Paraneoplastic systemic sclerosis: About 3 cases and review of literature. </w:t>
      </w:r>
      <w:r w:rsidRPr="007C2E02">
        <w:rPr>
          <w:lang w:val="fr-FR"/>
        </w:rPr>
        <w:t>J. Mal. Vasc. 2016; 41(6):365–370.</w:t>
      </w:r>
    </w:p>
    <w:p w14:paraId="049A1402" w14:textId="77777777" w:rsidR="007C2E02" w:rsidRPr="007C2E02" w:rsidRDefault="007C2E02" w:rsidP="007C2E02">
      <w:pPr>
        <w:pStyle w:val="Bibliographie"/>
      </w:pPr>
      <w:r w:rsidRPr="007C2E02">
        <w:rPr>
          <w:lang w:val="fr-FR"/>
        </w:rPr>
        <w:t xml:space="preserve">10. </w:t>
      </w:r>
      <w:r w:rsidRPr="007C2E02">
        <w:rPr>
          <w:lang w:val="fr-FR"/>
        </w:rPr>
        <w:tab/>
        <w:t xml:space="preserve">Fardet L, Dupuy A, Gain M et al. </w:t>
      </w:r>
      <w:r w:rsidRPr="007C2E02">
        <w:t>Factors associated with underlying malignancy in a retrospective cohort of 121 patients with dermatomyositis. Medicine (Baltimore) 2009; 88(2):91–97.</w:t>
      </w:r>
    </w:p>
    <w:p w14:paraId="55C30D5A" w14:textId="77777777" w:rsidR="007C2E02" w:rsidRPr="007C2E02" w:rsidRDefault="007C2E02" w:rsidP="007C2E02">
      <w:pPr>
        <w:pStyle w:val="Bibliographie"/>
      </w:pPr>
      <w:r w:rsidRPr="007C2E02">
        <w:t xml:space="preserve">11. </w:t>
      </w:r>
      <w:r w:rsidRPr="007C2E02">
        <w:tab/>
        <w:t>Curth HO. Classification of acanthosis nigricans. Int. J. Dermatol. 1976; 15(8):592–593.</w:t>
      </w:r>
    </w:p>
    <w:p w14:paraId="6D98A12B" w14:textId="77777777" w:rsidR="00CD463B" w:rsidRPr="00896936" w:rsidRDefault="00CD463B" w:rsidP="00107BF0">
      <w:r>
        <w:rPr>
          <w:lang w:val="fr-FR"/>
        </w:rPr>
        <w:fldChar w:fldCharType="end"/>
      </w:r>
    </w:p>
    <w:p w14:paraId="2946DB82" w14:textId="77777777" w:rsidR="001044A3" w:rsidRPr="00896936" w:rsidRDefault="001044A3" w:rsidP="00107BF0"/>
    <w:p w14:paraId="30B2116C" w14:textId="77777777" w:rsidR="00515AC4" w:rsidRDefault="00515AC4" w:rsidP="00515AC4">
      <w:pPr>
        <w:rPr>
          <w:b/>
          <w:color w:val="0000FF"/>
          <w:u w:val="single"/>
          <w:lang w:val="fr-FR"/>
        </w:rPr>
      </w:pPr>
      <w:r>
        <w:rPr>
          <w:b/>
          <w:color w:val="0000FF"/>
          <w:u w:val="single"/>
          <w:lang w:val="fr-FR"/>
        </w:rPr>
        <w:t>Points clés méthodologiques :</w:t>
      </w:r>
    </w:p>
    <w:p w14:paraId="391A3E92" w14:textId="77777777" w:rsidR="00132BD0" w:rsidRDefault="00132BD0" w:rsidP="007C2E02">
      <w:pPr>
        <w:numPr>
          <w:ilvl w:val="0"/>
          <w:numId w:val="11"/>
        </w:numPr>
        <w:jc w:val="both"/>
        <w:rPr>
          <w:lang w:val="fr-FR"/>
        </w:rPr>
      </w:pPr>
      <w:r>
        <w:rPr>
          <w:lang w:val="fr-FR"/>
        </w:rPr>
        <w:t xml:space="preserve">Etude observationnelle non interventionnelle </w:t>
      </w:r>
      <w:r w:rsidR="00AC1228">
        <w:rPr>
          <w:lang w:val="fr-FR"/>
        </w:rPr>
        <w:t xml:space="preserve">adossée au réseau REISAMIC </w:t>
      </w:r>
    </w:p>
    <w:p w14:paraId="4A4A7C26" w14:textId="445EC58D" w:rsidR="00515AC4" w:rsidRDefault="4A5E5E20" w:rsidP="4A5E5E20">
      <w:pPr>
        <w:numPr>
          <w:ilvl w:val="0"/>
          <w:numId w:val="11"/>
        </w:numPr>
        <w:jc w:val="both"/>
        <w:rPr>
          <w:lang w:val="fr-FR"/>
        </w:rPr>
      </w:pPr>
      <w:r w:rsidRPr="4A5E5E20">
        <w:rPr>
          <w:lang w:val="fr-FR"/>
        </w:rPr>
        <w:t>Etude rétrospective sur la période juin 2013 – juin 2018 et prospective sur la période juin 2018 - juin 2020</w:t>
      </w:r>
    </w:p>
    <w:p w14:paraId="6B5E5A2F" w14:textId="77777777" w:rsidR="002F5602" w:rsidRPr="00132BD0" w:rsidRDefault="002F5602" w:rsidP="007C2E02">
      <w:pPr>
        <w:numPr>
          <w:ilvl w:val="0"/>
          <w:numId w:val="11"/>
        </w:numPr>
        <w:jc w:val="both"/>
        <w:rPr>
          <w:lang w:val="fr-FR"/>
        </w:rPr>
      </w:pPr>
      <w:r>
        <w:rPr>
          <w:lang w:val="fr-FR"/>
        </w:rPr>
        <w:t>Nombre total de cas envisagés : n=</w:t>
      </w:r>
      <w:r w:rsidR="00A70A6A">
        <w:rPr>
          <w:lang w:val="fr-FR"/>
        </w:rPr>
        <w:t xml:space="preserve">20 (10 cas pour la </w:t>
      </w:r>
      <w:r w:rsidR="00A70A6A" w:rsidRPr="007C2E02">
        <w:rPr>
          <w:b/>
          <w:lang w:val="fr-FR"/>
        </w:rPr>
        <w:t>cohorte 1</w:t>
      </w:r>
      <w:r w:rsidR="00A70A6A">
        <w:rPr>
          <w:lang w:val="fr-FR"/>
        </w:rPr>
        <w:t xml:space="preserve"> avec SPN préexistant et 10 cas pour la </w:t>
      </w:r>
      <w:r w:rsidR="00A70A6A" w:rsidRPr="007C2E02">
        <w:rPr>
          <w:b/>
          <w:lang w:val="fr-FR"/>
        </w:rPr>
        <w:t>cohorte 2</w:t>
      </w:r>
      <w:r w:rsidR="00A70A6A">
        <w:rPr>
          <w:lang w:val="fr-FR"/>
        </w:rPr>
        <w:t xml:space="preserve"> avec apparition d’un SPN après traitement anti-PD(L</w:t>
      </w:r>
      <w:proofErr w:type="gramStart"/>
      <w:r w:rsidR="00A70A6A">
        <w:rPr>
          <w:lang w:val="fr-FR"/>
        </w:rPr>
        <w:t>)1</w:t>
      </w:r>
      <w:proofErr w:type="gramEnd"/>
      <w:r w:rsidR="00A70A6A">
        <w:rPr>
          <w:lang w:val="fr-FR"/>
        </w:rPr>
        <w:t>).</w:t>
      </w:r>
    </w:p>
    <w:p w14:paraId="4C54FD97" w14:textId="77777777" w:rsidR="00515AC4" w:rsidRDefault="00515AC4" w:rsidP="007C2E02">
      <w:pPr>
        <w:numPr>
          <w:ilvl w:val="0"/>
          <w:numId w:val="11"/>
        </w:numPr>
        <w:jc w:val="both"/>
        <w:rPr>
          <w:lang w:val="fr-FR"/>
        </w:rPr>
      </w:pPr>
      <w:r>
        <w:rPr>
          <w:lang w:val="fr-FR"/>
        </w:rPr>
        <w:t xml:space="preserve">Recrutement </w:t>
      </w:r>
      <w:r w:rsidR="00132BD0">
        <w:rPr>
          <w:lang w:val="fr-FR"/>
        </w:rPr>
        <w:t xml:space="preserve">multicentrique </w:t>
      </w:r>
      <w:r>
        <w:rPr>
          <w:lang w:val="fr-FR"/>
        </w:rPr>
        <w:t xml:space="preserve">par le réseau REISAMIC et </w:t>
      </w:r>
      <w:r w:rsidR="00132BD0">
        <w:rPr>
          <w:lang w:val="fr-FR"/>
        </w:rPr>
        <w:t xml:space="preserve">par </w:t>
      </w:r>
      <w:r>
        <w:rPr>
          <w:lang w:val="fr-FR"/>
        </w:rPr>
        <w:t>appel à observations au niveau national via l</w:t>
      </w:r>
      <w:r w:rsidR="00A70A6A">
        <w:rPr>
          <w:lang w:val="fr-FR"/>
        </w:rPr>
        <w:t>es réseaux académiques (</w:t>
      </w:r>
      <w:r>
        <w:rPr>
          <w:lang w:val="fr-FR"/>
        </w:rPr>
        <w:t>SNFMI</w:t>
      </w:r>
      <w:r w:rsidR="00A70A6A">
        <w:rPr>
          <w:lang w:val="fr-FR"/>
        </w:rPr>
        <w:t xml:space="preserve">, </w:t>
      </w:r>
      <w:r>
        <w:rPr>
          <w:lang w:val="fr-FR"/>
        </w:rPr>
        <w:t>CRI</w:t>
      </w:r>
      <w:r w:rsidR="00A70A6A">
        <w:rPr>
          <w:lang w:val="fr-FR"/>
        </w:rPr>
        <w:t>, AERIO, GIO UNICANCER …)</w:t>
      </w:r>
    </w:p>
    <w:p w14:paraId="388A4B23" w14:textId="77777777" w:rsidR="0060583C" w:rsidRDefault="0060583C" w:rsidP="007C2E02">
      <w:pPr>
        <w:numPr>
          <w:ilvl w:val="0"/>
          <w:numId w:val="11"/>
        </w:numPr>
        <w:jc w:val="both"/>
        <w:rPr>
          <w:lang w:val="fr-FR"/>
        </w:rPr>
      </w:pPr>
      <w:r>
        <w:rPr>
          <w:lang w:val="fr-FR"/>
        </w:rPr>
        <w:t>Relecture centralisée des dossiers cliniques par un co</w:t>
      </w:r>
      <w:r w:rsidR="00132BD0">
        <w:rPr>
          <w:lang w:val="fr-FR"/>
        </w:rPr>
        <w:t xml:space="preserve">mité de cliniciens spécialistes dans le cadre de la RCP </w:t>
      </w:r>
      <w:proofErr w:type="spellStart"/>
      <w:r w:rsidR="00132BD0">
        <w:rPr>
          <w:lang w:val="fr-FR"/>
        </w:rPr>
        <w:t>iTOX</w:t>
      </w:r>
      <w:proofErr w:type="spellEnd"/>
      <w:r w:rsidR="00132BD0">
        <w:rPr>
          <w:lang w:val="fr-FR"/>
        </w:rPr>
        <w:t xml:space="preserve"> de Gustave Roussy.</w:t>
      </w:r>
    </w:p>
    <w:p w14:paraId="3E8E7384" w14:textId="77777777" w:rsidR="00132BD0" w:rsidRPr="00515AC4" w:rsidRDefault="00132BD0" w:rsidP="007C2E02">
      <w:pPr>
        <w:numPr>
          <w:ilvl w:val="0"/>
          <w:numId w:val="11"/>
        </w:numPr>
        <w:jc w:val="both"/>
        <w:rPr>
          <w:lang w:val="fr-FR"/>
        </w:rPr>
      </w:pPr>
      <w:r>
        <w:rPr>
          <w:lang w:val="fr-FR"/>
        </w:rPr>
        <w:t>Non-opposition du patient pour le recueil de données</w:t>
      </w:r>
      <w:r w:rsidR="00A70A6A">
        <w:rPr>
          <w:lang w:val="fr-FR"/>
        </w:rPr>
        <w:t>.</w:t>
      </w:r>
    </w:p>
    <w:p w14:paraId="5997CC1D" w14:textId="77777777" w:rsidR="00515AC4" w:rsidRDefault="00515AC4" w:rsidP="00107BF0">
      <w:pPr>
        <w:rPr>
          <w:lang w:val="fr-FR"/>
        </w:rPr>
      </w:pPr>
    </w:p>
    <w:p w14:paraId="110FFD37" w14:textId="77777777" w:rsidR="0076597C" w:rsidRDefault="0076597C" w:rsidP="00FD0EB3">
      <w:pPr>
        <w:pStyle w:val="Default"/>
        <w:rPr>
          <w:sz w:val="23"/>
          <w:szCs w:val="23"/>
        </w:rPr>
      </w:pPr>
    </w:p>
    <w:p w14:paraId="0BD3C067" w14:textId="77777777" w:rsidR="00504B0A" w:rsidRDefault="00504B0A" w:rsidP="00504B0A">
      <w:pPr>
        <w:rPr>
          <w:b/>
          <w:color w:val="0000FF"/>
          <w:u w:val="single"/>
          <w:lang w:val="fr-FR"/>
        </w:rPr>
      </w:pPr>
      <w:r>
        <w:rPr>
          <w:b/>
          <w:color w:val="0000FF"/>
          <w:u w:val="single"/>
          <w:lang w:val="fr-FR"/>
        </w:rPr>
        <w:t>Retombées attendues et plan de valorisation</w:t>
      </w:r>
    </w:p>
    <w:p w14:paraId="0A17BE8E" w14:textId="77777777" w:rsidR="00504B0A" w:rsidRDefault="00D7262B" w:rsidP="00504B0A">
      <w:pPr>
        <w:rPr>
          <w:lang w:val="fr-FR"/>
        </w:rPr>
      </w:pPr>
      <w:r w:rsidRPr="00FE1055">
        <w:rPr>
          <w:lang w:val="fr-FR"/>
        </w:rPr>
        <w:sym w:font="Wingdings" w:char="F0A8"/>
      </w:r>
      <w:r w:rsidRPr="00FE1055">
        <w:rPr>
          <w:lang w:val="fr-FR"/>
        </w:rPr>
        <w:t xml:space="preserve"> </w:t>
      </w:r>
      <w:r>
        <w:rPr>
          <w:lang w:val="fr-FR"/>
        </w:rPr>
        <w:t>Essai de phase I/II</w:t>
      </w:r>
      <w:r w:rsidRPr="00FE1055">
        <w:rPr>
          <w:lang w:val="fr-FR"/>
        </w:rPr>
        <w:t xml:space="preserve">, </w:t>
      </w:r>
      <w:r w:rsidR="00961640">
        <w:rPr>
          <w:lang w:val="fr-FR"/>
        </w:rPr>
        <w:sym w:font="Wingdings" w:char="F06E"/>
      </w:r>
      <w:r w:rsidR="00504B0A" w:rsidRPr="00FE1055">
        <w:rPr>
          <w:lang w:val="fr-FR"/>
        </w:rPr>
        <w:t xml:space="preserve"> </w:t>
      </w:r>
      <w:r w:rsidR="00504B0A">
        <w:rPr>
          <w:lang w:val="fr-FR"/>
        </w:rPr>
        <w:t>Publication</w:t>
      </w:r>
      <w:r w:rsidR="00504B0A" w:rsidRPr="00FE1055">
        <w:rPr>
          <w:lang w:val="fr-FR"/>
        </w:rPr>
        <w:t xml:space="preserve">, </w:t>
      </w:r>
      <w:r w:rsidR="00504B0A" w:rsidRPr="00FE1055">
        <w:rPr>
          <w:lang w:val="fr-FR"/>
        </w:rPr>
        <w:sym w:font="Wingdings" w:char="F0A8"/>
      </w:r>
      <w:r w:rsidR="00504B0A" w:rsidRPr="00FE1055">
        <w:rPr>
          <w:lang w:val="fr-FR"/>
        </w:rPr>
        <w:t xml:space="preserve"> </w:t>
      </w:r>
      <w:r w:rsidR="00504B0A">
        <w:rPr>
          <w:lang w:val="fr-FR"/>
        </w:rPr>
        <w:t>Brevet</w:t>
      </w:r>
      <w:r w:rsidR="00504B0A" w:rsidRPr="00FE1055">
        <w:rPr>
          <w:lang w:val="fr-FR"/>
        </w:rPr>
        <w:t xml:space="preserve">, </w:t>
      </w:r>
      <w:r w:rsidR="00961640">
        <w:rPr>
          <w:lang w:val="fr-FR"/>
        </w:rPr>
        <w:sym w:font="Wingdings" w:char="F06E"/>
      </w:r>
      <w:r w:rsidR="00504B0A" w:rsidRPr="00FE1055">
        <w:rPr>
          <w:lang w:val="fr-FR"/>
        </w:rPr>
        <w:t xml:space="preserve">autre, </w:t>
      </w:r>
      <w:r w:rsidR="00132BD0" w:rsidRPr="00FE1055">
        <w:rPr>
          <w:lang w:val="fr-FR"/>
        </w:rPr>
        <w:t>précisé</w:t>
      </w:r>
      <w:r w:rsidR="00961640">
        <w:rPr>
          <w:lang w:val="fr-FR"/>
        </w:rPr>
        <w:t xml:space="preserve"> : résultats </w:t>
      </w:r>
      <w:r w:rsidR="00A70A6A">
        <w:rPr>
          <w:lang w:val="fr-FR"/>
        </w:rPr>
        <w:t>devant permettre d’</w:t>
      </w:r>
      <w:r w:rsidR="00961640">
        <w:rPr>
          <w:lang w:val="fr-FR"/>
        </w:rPr>
        <w:t xml:space="preserve">améliorer les guidelines de gestion des toxicités des immunothérapies en pratiques courantes </w:t>
      </w:r>
      <w:r w:rsidR="00A70A6A">
        <w:rPr>
          <w:lang w:val="fr-FR"/>
        </w:rPr>
        <w:t>et/</w:t>
      </w:r>
      <w:r w:rsidR="00961640">
        <w:rPr>
          <w:lang w:val="fr-FR"/>
        </w:rPr>
        <w:t>ou dans les essais cliniques.</w:t>
      </w:r>
    </w:p>
    <w:p w14:paraId="441EECDD" w14:textId="77777777" w:rsidR="00C2702C" w:rsidRPr="00D81EEF" w:rsidRDefault="00C2702C" w:rsidP="00504B0A">
      <w:pPr>
        <w:rPr>
          <w:b/>
          <w:lang w:val="fr-FR"/>
        </w:rPr>
      </w:pPr>
      <w:proofErr w:type="spellStart"/>
      <w:r w:rsidRPr="00D81EEF">
        <w:rPr>
          <w:b/>
          <w:lang w:val="fr-FR"/>
        </w:rPr>
        <w:t>Timelines</w:t>
      </w:r>
      <w:proofErr w:type="spellEnd"/>
      <w:r w:rsidRPr="00D81EEF">
        <w:rPr>
          <w:b/>
          <w:lang w:val="fr-FR"/>
        </w:rPr>
        <w:t xml:space="preserve"> : </w:t>
      </w:r>
    </w:p>
    <w:p w14:paraId="17EE66CE" w14:textId="401C2ADE" w:rsidR="00C2702C" w:rsidRDefault="4A5E5E20" w:rsidP="4A5E5E20">
      <w:pPr>
        <w:numPr>
          <w:ilvl w:val="0"/>
          <w:numId w:val="8"/>
        </w:numPr>
        <w:rPr>
          <w:lang w:val="fr-FR"/>
        </w:rPr>
      </w:pPr>
      <w:r w:rsidRPr="4A5E5E20">
        <w:rPr>
          <w:lang w:val="fr-FR"/>
        </w:rPr>
        <w:t>Début du recrutement sept 2018</w:t>
      </w:r>
    </w:p>
    <w:p w14:paraId="377EEC15" w14:textId="78A09840" w:rsidR="00C2702C" w:rsidRDefault="4A5E5E20" w:rsidP="4A5E5E20">
      <w:pPr>
        <w:numPr>
          <w:ilvl w:val="0"/>
          <w:numId w:val="8"/>
        </w:numPr>
        <w:rPr>
          <w:lang w:val="fr-FR"/>
        </w:rPr>
      </w:pPr>
      <w:r w:rsidRPr="4A5E5E20">
        <w:rPr>
          <w:lang w:val="fr-FR"/>
        </w:rPr>
        <w:t xml:space="preserve">Analyse intermédiaire </w:t>
      </w:r>
      <w:proofErr w:type="spellStart"/>
      <w:r w:rsidRPr="4A5E5E20">
        <w:rPr>
          <w:lang w:val="fr-FR"/>
        </w:rPr>
        <w:t>dec</w:t>
      </w:r>
      <w:proofErr w:type="spellEnd"/>
      <w:r w:rsidRPr="4A5E5E20">
        <w:rPr>
          <w:lang w:val="fr-FR"/>
        </w:rPr>
        <w:t xml:space="preserve">  2018</w:t>
      </w:r>
    </w:p>
    <w:p w14:paraId="35A5C14C" w14:textId="7C5DCD3C" w:rsidR="00A70A6A" w:rsidRDefault="4A5E5E20" w:rsidP="4A5E5E20">
      <w:pPr>
        <w:numPr>
          <w:ilvl w:val="0"/>
          <w:numId w:val="8"/>
        </w:numPr>
        <w:rPr>
          <w:lang w:val="fr-FR"/>
        </w:rPr>
      </w:pPr>
      <w:r w:rsidRPr="4A5E5E20">
        <w:rPr>
          <w:lang w:val="fr-FR"/>
        </w:rPr>
        <w:t>Fin du recrutement en juin 2020</w:t>
      </w:r>
    </w:p>
    <w:p w14:paraId="3CFAC7D2" w14:textId="7E590D98" w:rsidR="00C2702C" w:rsidRDefault="4A5E5E20" w:rsidP="4A5E5E20">
      <w:pPr>
        <w:numPr>
          <w:ilvl w:val="0"/>
          <w:numId w:val="8"/>
        </w:numPr>
        <w:rPr>
          <w:lang w:val="fr-FR"/>
        </w:rPr>
      </w:pPr>
      <w:r w:rsidRPr="4A5E5E20">
        <w:rPr>
          <w:lang w:val="fr-FR"/>
        </w:rPr>
        <w:t>Publication juillet 2021</w:t>
      </w:r>
    </w:p>
    <w:p w14:paraId="6B699379" w14:textId="77777777" w:rsidR="00504B0A" w:rsidRDefault="00504B0A" w:rsidP="00504B0A">
      <w:pPr>
        <w:rPr>
          <w:b/>
          <w:color w:val="0000FF"/>
          <w:u w:val="single"/>
          <w:lang w:val="fr-FR"/>
        </w:rPr>
      </w:pPr>
    </w:p>
    <w:p w14:paraId="0DFE0DFC" w14:textId="77777777" w:rsidR="00891841" w:rsidRPr="00504B0A" w:rsidRDefault="00891841" w:rsidP="00504B0A">
      <w:pPr>
        <w:rPr>
          <w:b/>
          <w:color w:val="0000FF"/>
          <w:u w:val="single"/>
          <w:lang w:val="fr-FR"/>
        </w:rPr>
      </w:pPr>
      <w:r>
        <w:rPr>
          <w:b/>
          <w:color w:val="0000FF"/>
          <w:u w:val="single"/>
          <w:lang w:val="fr-FR"/>
        </w:rPr>
        <w:t>Propriété des données</w:t>
      </w:r>
    </w:p>
    <w:p w14:paraId="6EB1B94F" w14:textId="77777777" w:rsidR="00891841" w:rsidRDefault="00961640" w:rsidP="00891841">
      <w:pPr>
        <w:rPr>
          <w:lang w:val="fr-FR"/>
        </w:rPr>
      </w:pPr>
      <w:r>
        <w:rPr>
          <w:lang w:val="fr-FR"/>
        </w:rPr>
        <w:sym w:font="Wingdings" w:char="F06E"/>
      </w:r>
      <w:r w:rsidR="00891841" w:rsidRPr="00FE1055">
        <w:rPr>
          <w:lang w:val="fr-FR"/>
        </w:rPr>
        <w:t xml:space="preserve"> </w:t>
      </w:r>
      <w:r w:rsidR="00891841">
        <w:rPr>
          <w:lang w:val="fr-FR"/>
        </w:rPr>
        <w:t>Gustave Roussy</w:t>
      </w:r>
      <w:r w:rsidR="00891841" w:rsidRPr="00FE1055">
        <w:rPr>
          <w:lang w:val="fr-FR"/>
        </w:rPr>
        <w:t xml:space="preserve">, </w:t>
      </w:r>
      <w:r w:rsidR="00D81EEF">
        <w:rPr>
          <w:lang w:val="fr-FR"/>
        </w:rPr>
        <w:sym w:font="Wingdings" w:char="F06E"/>
      </w:r>
      <w:r w:rsidR="00891841">
        <w:rPr>
          <w:lang w:val="fr-FR"/>
        </w:rPr>
        <w:t>Partagée avec le</w:t>
      </w:r>
      <w:r w:rsidR="004D285D">
        <w:rPr>
          <w:lang w:val="fr-FR"/>
        </w:rPr>
        <w:t>(s)</w:t>
      </w:r>
      <w:r w:rsidR="00891841">
        <w:rPr>
          <w:lang w:val="fr-FR"/>
        </w:rPr>
        <w:t xml:space="preserve"> partenaire</w:t>
      </w:r>
      <w:r w:rsidR="004D285D">
        <w:rPr>
          <w:lang w:val="fr-FR"/>
        </w:rPr>
        <w:t>(s)</w:t>
      </w:r>
      <w:r w:rsidR="00D81EEF">
        <w:rPr>
          <w:lang w:val="fr-FR"/>
        </w:rPr>
        <w:t xml:space="preserve"> (centres partenaires</w:t>
      </w:r>
      <w:r w:rsidR="004D285D">
        <w:rPr>
          <w:lang w:val="fr-FR"/>
        </w:rPr>
        <w:t xml:space="preserve"> investigateurs</w:t>
      </w:r>
      <w:r w:rsidR="00D81EEF">
        <w:rPr>
          <w:lang w:val="fr-FR"/>
        </w:rPr>
        <w:t>)</w:t>
      </w:r>
      <w:r w:rsidR="00891841" w:rsidRPr="00FE1055">
        <w:rPr>
          <w:lang w:val="fr-FR"/>
        </w:rPr>
        <w:t xml:space="preserve">, </w:t>
      </w:r>
      <w:r w:rsidR="00891841" w:rsidRPr="00FE1055">
        <w:rPr>
          <w:lang w:val="fr-FR"/>
        </w:rPr>
        <w:sym w:font="Wingdings" w:char="F0A8"/>
      </w:r>
      <w:r w:rsidR="00891841" w:rsidRPr="00FE1055">
        <w:rPr>
          <w:lang w:val="fr-FR"/>
        </w:rPr>
        <w:t xml:space="preserve"> </w:t>
      </w:r>
      <w:r w:rsidR="00D25140">
        <w:rPr>
          <w:lang w:val="fr-FR"/>
        </w:rPr>
        <w:t>Aucune</w:t>
      </w:r>
      <w:r w:rsidR="00891841">
        <w:rPr>
          <w:lang w:val="fr-FR"/>
        </w:rPr>
        <w:t xml:space="preserve"> propriété </w:t>
      </w:r>
      <w:r w:rsidR="00D25140">
        <w:rPr>
          <w:lang w:val="fr-FR"/>
        </w:rPr>
        <w:t>GR</w:t>
      </w:r>
      <w:r w:rsidR="00891841" w:rsidRPr="00FE1055">
        <w:rPr>
          <w:lang w:val="fr-FR"/>
        </w:rPr>
        <w:t xml:space="preserve"> </w:t>
      </w:r>
    </w:p>
    <w:p w14:paraId="3FE9F23F" w14:textId="77777777" w:rsidR="00B8479C" w:rsidRDefault="00B8479C" w:rsidP="00891841">
      <w:pPr>
        <w:rPr>
          <w:lang w:val="fr-FR"/>
        </w:rPr>
      </w:pPr>
    </w:p>
    <w:p w14:paraId="1F72F646" w14:textId="77777777" w:rsidR="0076597C" w:rsidRDefault="0076597C" w:rsidP="002607DF">
      <w:pPr>
        <w:rPr>
          <w:b/>
          <w:color w:val="0000FF"/>
          <w:u w:val="single"/>
          <w:lang w:val="fr-FR"/>
        </w:rPr>
      </w:pPr>
    </w:p>
    <w:p w14:paraId="297005B1" w14:textId="77777777" w:rsidR="00891841" w:rsidRDefault="008B5E8A" w:rsidP="00891841">
      <w:pPr>
        <w:rPr>
          <w:b/>
          <w:i/>
          <w:color w:val="FF0000"/>
          <w:lang w:val="fr-FR"/>
        </w:rPr>
      </w:pPr>
      <w:r>
        <w:rPr>
          <w:b/>
          <w:i/>
          <w:noProof/>
          <w:color w:val="FF0000"/>
          <w:lang w:val="fr-FR"/>
        </w:rPr>
        <mc:AlternateContent>
          <mc:Choice Requires="wps">
            <w:drawing>
              <wp:anchor distT="0" distB="0" distL="114300" distR="114300" simplePos="0" relativeHeight="251657728" behindDoc="0" locked="0" layoutInCell="1" allowOverlap="1" wp14:anchorId="484BEB7F" wp14:editId="07777777">
                <wp:simplePos x="0" y="0"/>
                <wp:positionH relativeFrom="column">
                  <wp:posOffset>0</wp:posOffset>
                </wp:positionH>
                <wp:positionV relativeFrom="paragraph">
                  <wp:posOffset>128905</wp:posOffset>
                </wp:positionV>
                <wp:extent cx="58293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14="http://schemas.microsoft.com/office/word/2010/wordml" xmlns:a14="http://schemas.microsoft.com/office/drawing/2010/main" xmlns:a="http://schemas.openxmlformats.org/drawingml/2006/main">
            <w:pict w14:anchorId="0392AD3F">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0.15pt" to="459pt,10.15pt" w14:anchorId="29D2F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"/>
            </w:pict>
          </mc:Fallback>
        </mc:AlternateContent>
      </w:r>
    </w:p>
    <w:p w14:paraId="3182C036" w14:textId="77777777" w:rsidR="00891841" w:rsidRPr="00812B57" w:rsidRDefault="00891841" w:rsidP="00891841">
      <w:pPr>
        <w:rPr>
          <w:b/>
          <w:i/>
          <w:color w:val="FF0000"/>
          <w:lang w:val="fr-FR"/>
        </w:rPr>
      </w:pPr>
      <w:r w:rsidRPr="00812B57">
        <w:rPr>
          <w:b/>
          <w:i/>
          <w:color w:val="FF0000"/>
          <w:lang w:val="fr-FR"/>
        </w:rPr>
        <w:t xml:space="preserve">Cadre Réservé au </w:t>
      </w:r>
      <w:r>
        <w:rPr>
          <w:b/>
          <w:i/>
          <w:color w:val="FF0000"/>
          <w:lang w:val="fr-FR"/>
        </w:rPr>
        <w:t>DITEP</w:t>
      </w:r>
      <w:r w:rsidRPr="00812B57">
        <w:rPr>
          <w:b/>
          <w:i/>
          <w:color w:val="FF0000"/>
          <w:lang w:val="fr-FR"/>
        </w:rPr>
        <w:t> :</w:t>
      </w:r>
    </w:p>
    <w:p w14:paraId="08CE6F91" w14:textId="77777777" w:rsidR="00891841" w:rsidRPr="00812B57" w:rsidRDefault="00891841" w:rsidP="00891841">
      <w:pPr>
        <w:rPr>
          <w:lang w:val="fr-FR"/>
        </w:rPr>
      </w:pPr>
    </w:p>
    <w:p w14:paraId="6D5BADCD" w14:textId="77777777" w:rsidR="00891841" w:rsidRPr="00891841" w:rsidRDefault="00891841" w:rsidP="00891841">
      <w:pPr>
        <w:rPr>
          <w:lang w:val="fr-FR"/>
        </w:rPr>
      </w:pPr>
      <w:r w:rsidRPr="00891841">
        <w:rPr>
          <w:lang w:val="fr-FR"/>
        </w:rPr>
        <w:lastRenderedPageBreak/>
        <w:t>Date d’évaluation</w:t>
      </w:r>
      <w:r w:rsidR="0003031C">
        <w:rPr>
          <w:lang w:val="fr-FR"/>
        </w:rPr>
        <w:t xml:space="preserve"> COPIL</w:t>
      </w:r>
      <w:r w:rsidRPr="00891841">
        <w:rPr>
          <w:lang w:val="fr-FR"/>
        </w:rPr>
        <w:t> :</w:t>
      </w:r>
    </w:p>
    <w:p w14:paraId="553A5E80" w14:textId="77777777" w:rsidR="00891841" w:rsidRDefault="00891841" w:rsidP="00891841">
      <w:pPr>
        <w:rPr>
          <w:lang w:val="fr-FR"/>
        </w:rPr>
      </w:pPr>
      <w:r>
        <w:rPr>
          <w:lang w:val="fr-FR"/>
        </w:rPr>
        <w:t>Priorisation :</w:t>
      </w:r>
    </w:p>
    <w:p w14:paraId="09049C70" w14:textId="77777777" w:rsidR="00891841" w:rsidRDefault="00891841" w:rsidP="00891841">
      <w:pPr>
        <w:rPr>
          <w:lang w:val="fr-FR"/>
        </w:rPr>
      </w:pPr>
      <w:r w:rsidRPr="00FE1055">
        <w:rPr>
          <w:lang w:val="fr-FR"/>
        </w:rPr>
        <w:sym w:font="Wingdings" w:char="F0A8"/>
      </w:r>
      <w:r>
        <w:rPr>
          <w:lang w:val="fr-FR"/>
        </w:rPr>
        <w:t xml:space="preserve"> A (priorité Haute), justifier : </w:t>
      </w:r>
    </w:p>
    <w:p w14:paraId="5BBE3B94" w14:textId="77777777" w:rsidR="00891841" w:rsidRDefault="00891841" w:rsidP="00891841">
      <w:pPr>
        <w:rPr>
          <w:lang w:val="fr-FR"/>
        </w:rPr>
      </w:pPr>
      <w:r w:rsidRPr="00FE1055">
        <w:rPr>
          <w:lang w:val="fr-FR"/>
        </w:rPr>
        <w:sym w:font="Wingdings" w:char="F0A8"/>
      </w:r>
      <w:r>
        <w:rPr>
          <w:lang w:val="fr-FR"/>
        </w:rPr>
        <w:t xml:space="preserve"> B (priorité Moyenne), </w:t>
      </w:r>
      <w:proofErr w:type="gramStart"/>
      <w:r>
        <w:rPr>
          <w:lang w:val="fr-FR"/>
        </w:rPr>
        <w:t>justifier</w:t>
      </w:r>
      <w:proofErr w:type="gramEnd"/>
      <w:r>
        <w:rPr>
          <w:lang w:val="fr-FR"/>
        </w:rPr>
        <w:t> :</w:t>
      </w:r>
    </w:p>
    <w:p w14:paraId="127F25E4" w14:textId="77777777" w:rsidR="00891841" w:rsidRDefault="00891841" w:rsidP="00891841">
      <w:pPr>
        <w:rPr>
          <w:b/>
          <w:color w:val="0000FF"/>
          <w:u w:val="single"/>
          <w:lang w:val="fr-FR"/>
        </w:rPr>
      </w:pPr>
      <w:r w:rsidRPr="00FE1055">
        <w:rPr>
          <w:lang w:val="fr-FR"/>
        </w:rPr>
        <w:sym w:font="Wingdings" w:char="F0A8"/>
      </w:r>
      <w:r>
        <w:rPr>
          <w:lang w:val="fr-FR"/>
        </w:rPr>
        <w:t xml:space="preserve"> C (priorité Basse) </w:t>
      </w:r>
    </w:p>
    <w:p w14:paraId="09095CE5" w14:textId="77777777" w:rsidR="00891841" w:rsidRPr="00381FEC" w:rsidRDefault="00891841" w:rsidP="00891841">
      <w:pPr>
        <w:rPr>
          <w:lang w:val="fr-FR"/>
        </w:rPr>
      </w:pPr>
      <w:r>
        <w:rPr>
          <w:lang w:val="fr-FR"/>
        </w:rPr>
        <w:t>Ressources DITEP accordées :</w:t>
      </w:r>
    </w:p>
    <w:p w14:paraId="38E98FD9" w14:textId="77777777" w:rsidR="00891841" w:rsidRPr="00332932" w:rsidRDefault="00891841" w:rsidP="002607DF">
      <w:pPr>
        <w:rPr>
          <w:lang w:val="fr-FR"/>
        </w:rPr>
      </w:pPr>
      <w:r w:rsidRPr="00381FEC">
        <w:rPr>
          <w:lang w:val="fr-FR"/>
        </w:rPr>
        <w:t>Avis :</w:t>
      </w:r>
    </w:p>
    <w:sectPr w:rsidR="00891841" w:rsidRPr="0033293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B118" w14:textId="77777777" w:rsidR="003B3FE1" w:rsidRDefault="003B3FE1">
      <w:r>
        <w:separator/>
      </w:r>
    </w:p>
  </w:endnote>
  <w:endnote w:type="continuationSeparator" w:id="0">
    <w:p w14:paraId="49C1E925" w14:textId="77777777" w:rsidR="003B3FE1" w:rsidRDefault="003B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349C" w14:textId="77777777" w:rsidR="003A36C1" w:rsidRPr="003A36C1" w:rsidRDefault="003A36C1">
    <w:pPr>
      <w:pStyle w:val="Pieddepage"/>
      <w:rPr>
        <w:rFonts w:ascii="Arial" w:hAnsi="Arial" w:cs="Arial"/>
        <w:sz w:val="18"/>
        <w:lang w:val="fr-FR"/>
      </w:rPr>
    </w:pPr>
    <w:r w:rsidRPr="003A36C1">
      <w:rPr>
        <w:rFonts w:ascii="Arial" w:hAnsi="Arial" w:cs="Arial"/>
        <w:sz w:val="18"/>
        <w:lang w:val="fr-FR"/>
      </w:rPr>
      <w:t>V</w:t>
    </w:r>
    <w:r w:rsidR="00D81EEF">
      <w:rPr>
        <w:rFonts w:ascii="Arial" w:hAnsi="Arial" w:cs="Arial"/>
        <w:sz w:val="18"/>
        <w:lang w:val="fr-FR"/>
      </w:rPr>
      <w:t>2</w:t>
    </w:r>
    <w:r w:rsidRPr="003A36C1">
      <w:rPr>
        <w:rFonts w:ascii="Arial" w:hAnsi="Arial" w:cs="Arial"/>
        <w:sz w:val="18"/>
        <w:lang w:val="fr-FR"/>
      </w:rPr>
      <w:t xml:space="preserve"> </w:t>
    </w:r>
    <w:r w:rsidR="00D81EEF">
      <w:rPr>
        <w:rFonts w:ascii="Arial" w:hAnsi="Arial" w:cs="Arial"/>
        <w:sz w:val="18"/>
        <w:lang w:val="fr-FR"/>
      </w:rPr>
      <w:t>20/06/2018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D43E8" w14:textId="77777777" w:rsidR="003B3FE1" w:rsidRDefault="003B3FE1">
      <w:r>
        <w:separator/>
      </w:r>
    </w:p>
  </w:footnote>
  <w:footnote w:type="continuationSeparator" w:id="0">
    <w:p w14:paraId="0D5F410C" w14:textId="77777777" w:rsidR="003B3FE1" w:rsidRDefault="003B3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892E" w14:textId="77777777" w:rsidR="0076597C" w:rsidRPr="00E55BC8" w:rsidRDefault="008B5E8A" w:rsidP="00E55BC8">
    <w:pPr>
      <w:rPr>
        <w:i/>
        <w:sz w:val="22"/>
      </w:rPr>
    </w:pPr>
    <w:r>
      <w:rPr>
        <w:rFonts w:ascii="Arial" w:hAnsi="Arial" w:cs="Arial"/>
        <w:noProof/>
        <w:sz w:val="20"/>
        <w:szCs w:val="20"/>
        <w:lang w:val="fr-FR"/>
      </w:rPr>
      <w:drawing>
        <wp:inline distT="0" distB="0" distL="0" distR="0" wp14:anchorId="00A06522" wp14:editId="07777777">
          <wp:extent cx="1284605" cy="419100"/>
          <wp:effectExtent l="0" t="0" r="0" b="0"/>
          <wp:docPr id="1" name="Image 1" descr="logo DI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T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419100"/>
                  </a:xfrm>
                  <a:prstGeom prst="rect">
                    <a:avLst/>
                  </a:prstGeom>
                  <a:noFill/>
                  <a:ln>
                    <a:noFill/>
                  </a:ln>
                </pic:spPr>
              </pic:pic>
            </a:graphicData>
          </a:graphic>
        </wp:inline>
      </w:drawing>
    </w:r>
    <w:r w:rsidR="00E55BC8" w:rsidRPr="496F62E8">
      <w:rPr>
        <w:rFonts w:ascii="Arial" w:eastAsia="Arial" w:hAnsi="Arial" w:cs="Arial"/>
        <w:noProof/>
        <w:sz w:val="20"/>
        <w:szCs w:val="20"/>
      </w:rPr>
      <w:t xml:space="preserve"> </w:t>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D81EEF" w:rsidRPr="496F62E8">
      <w:rPr>
        <w:rFonts w:ascii="Arial" w:eastAsia="Arial" w:hAnsi="Arial" w:cs="Arial"/>
        <w:noProof/>
        <w:sz w:val="18"/>
        <w:szCs w:val="18"/>
      </w:rPr>
      <w:t>2</w:t>
    </w:r>
    <w:r w:rsidR="00AF524E" w:rsidRPr="496F62E8">
      <w:rPr>
        <w:rFonts w:ascii="Arial" w:eastAsia="Arial" w:hAnsi="Arial" w:cs="Arial"/>
        <w:noProof/>
        <w:sz w:val="18"/>
        <w:szCs w:val="18"/>
      </w:rPr>
      <w:t>5</w:t>
    </w:r>
    <w:r w:rsidR="00D81EEF" w:rsidRPr="496F62E8">
      <w:rPr>
        <w:rFonts w:ascii="Arial" w:eastAsia="Arial" w:hAnsi="Arial" w:cs="Arial"/>
        <w:noProof/>
        <w:sz w:val="18"/>
        <w:szCs w:val="18"/>
      </w:rPr>
      <w:t>/JUIN/2018 V</w:t>
    </w:r>
    <w:r w:rsidR="00AF524E" w:rsidRPr="496F62E8">
      <w:rPr>
        <w:rFonts w:ascii="Arial" w:eastAsia="Arial" w:hAnsi="Arial" w:cs="Arial"/>
        <w:noProof/>
        <w:sz w:val="18"/>
        <w:szCs w:val="18"/>
      </w:rPr>
      <w:t>4</w:t>
    </w:r>
  </w:p>
  <w:p w14:paraId="61CDCEAD" w14:textId="77777777" w:rsidR="0076597C" w:rsidRDefault="0076597C" w:rsidP="00C72F98">
    <w:pPr>
      <w:pStyle w:val="En-tte"/>
      <w:rPr>
        <w:rFonts w:ascii="Arial" w:hAnsi="Arial" w:cs="Arial"/>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82B"/>
    <w:multiLevelType w:val="hybridMultilevel"/>
    <w:tmpl w:val="BAB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2733A"/>
    <w:multiLevelType w:val="hybridMultilevel"/>
    <w:tmpl w:val="AEE4FAAC"/>
    <w:lvl w:ilvl="0" w:tplc="040C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3503"/>
    <w:multiLevelType w:val="hybridMultilevel"/>
    <w:tmpl w:val="81F646C6"/>
    <w:lvl w:ilvl="0" w:tplc="24843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BD258C4"/>
    <w:multiLevelType w:val="hybridMultilevel"/>
    <w:tmpl w:val="4ACAB298"/>
    <w:lvl w:ilvl="0" w:tplc="758024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81534E"/>
    <w:multiLevelType w:val="hybridMultilevel"/>
    <w:tmpl w:val="5CB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00B22"/>
    <w:multiLevelType w:val="hybridMultilevel"/>
    <w:tmpl w:val="24DA07D4"/>
    <w:lvl w:ilvl="0" w:tplc="014AC21C">
      <w:numFmt w:val="bullet"/>
      <w:lvlText w:val="-"/>
      <w:lvlJc w:val="left"/>
      <w:pPr>
        <w:ind w:left="720" w:hanging="360"/>
      </w:pPr>
      <w:rPr>
        <w:rFonts w:ascii="Times New Roman" w:eastAsia="Times New Roman"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A16532"/>
    <w:multiLevelType w:val="hybridMultilevel"/>
    <w:tmpl w:val="F3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F81EE6"/>
    <w:multiLevelType w:val="hybridMultilevel"/>
    <w:tmpl w:val="15140264"/>
    <w:lvl w:ilvl="0" w:tplc="0598EFEC">
      <w:start w:val="1"/>
      <w:numFmt w:val="bullet"/>
      <w:lvlText w:val="–"/>
      <w:lvlJc w:val="left"/>
      <w:pPr>
        <w:tabs>
          <w:tab w:val="num" w:pos="720"/>
        </w:tabs>
        <w:ind w:left="720" w:hanging="360"/>
      </w:pPr>
      <w:rPr>
        <w:rFonts w:ascii="Arial" w:hAnsi="Arial" w:hint="default"/>
      </w:rPr>
    </w:lvl>
    <w:lvl w:ilvl="1" w:tplc="FA94CBB6">
      <w:start w:val="1"/>
      <w:numFmt w:val="bullet"/>
      <w:lvlText w:val="–"/>
      <w:lvlJc w:val="left"/>
      <w:pPr>
        <w:tabs>
          <w:tab w:val="num" w:pos="1440"/>
        </w:tabs>
        <w:ind w:left="1440" w:hanging="360"/>
      </w:pPr>
      <w:rPr>
        <w:rFonts w:ascii="Arial" w:hAnsi="Arial" w:hint="default"/>
      </w:rPr>
    </w:lvl>
    <w:lvl w:ilvl="2" w:tplc="A7F28AD2" w:tentative="1">
      <w:start w:val="1"/>
      <w:numFmt w:val="bullet"/>
      <w:lvlText w:val="–"/>
      <w:lvlJc w:val="left"/>
      <w:pPr>
        <w:tabs>
          <w:tab w:val="num" w:pos="2160"/>
        </w:tabs>
        <w:ind w:left="2160" w:hanging="360"/>
      </w:pPr>
      <w:rPr>
        <w:rFonts w:ascii="Arial" w:hAnsi="Arial" w:hint="default"/>
      </w:rPr>
    </w:lvl>
    <w:lvl w:ilvl="3" w:tplc="151E7C1C" w:tentative="1">
      <w:start w:val="1"/>
      <w:numFmt w:val="bullet"/>
      <w:lvlText w:val="–"/>
      <w:lvlJc w:val="left"/>
      <w:pPr>
        <w:tabs>
          <w:tab w:val="num" w:pos="2880"/>
        </w:tabs>
        <w:ind w:left="2880" w:hanging="360"/>
      </w:pPr>
      <w:rPr>
        <w:rFonts w:ascii="Arial" w:hAnsi="Arial" w:hint="default"/>
      </w:rPr>
    </w:lvl>
    <w:lvl w:ilvl="4" w:tplc="CE624638" w:tentative="1">
      <w:start w:val="1"/>
      <w:numFmt w:val="bullet"/>
      <w:lvlText w:val="–"/>
      <w:lvlJc w:val="left"/>
      <w:pPr>
        <w:tabs>
          <w:tab w:val="num" w:pos="3600"/>
        </w:tabs>
        <w:ind w:left="3600" w:hanging="360"/>
      </w:pPr>
      <w:rPr>
        <w:rFonts w:ascii="Arial" w:hAnsi="Arial" w:hint="default"/>
      </w:rPr>
    </w:lvl>
    <w:lvl w:ilvl="5" w:tplc="37C4DF0A" w:tentative="1">
      <w:start w:val="1"/>
      <w:numFmt w:val="bullet"/>
      <w:lvlText w:val="–"/>
      <w:lvlJc w:val="left"/>
      <w:pPr>
        <w:tabs>
          <w:tab w:val="num" w:pos="4320"/>
        </w:tabs>
        <w:ind w:left="4320" w:hanging="360"/>
      </w:pPr>
      <w:rPr>
        <w:rFonts w:ascii="Arial" w:hAnsi="Arial" w:hint="default"/>
      </w:rPr>
    </w:lvl>
    <w:lvl w:ilvl="6" w:tplc="04882E2E" w:tentative="1">
      <w:start w:val="1"/>
      <w:numFmt w:val="bullet"/>
      <w:lvlText w:val="–"/>
      <w:lvlJc w:val="left"/>
      <w:pPr>
        <w:tabs>
          <w:tab w:val="num" w:pos="5040"/>
        </w:tabs>
        <w:ind w:left="5040" w:hanging="360"/>
      </w:pPr>
      <w:rPr>
        <w:rFonts w:ascii="Arial" w:hAnsi="Arial" w:hint="default"/>
      </w:rPr>
    </w:lvl>
    <w:lvl w:ilvl="7" w:tplc="F55EC5F0" w:tentative="1">
      <w:start w:val="1"/>
      <w:numFmt w:val="bullet"/>
      <w:lvlText w:val="–"/>
      <w:lvlJc w:val="left"/>
      <w:pPr>
        <w:tabs>
          <w:tab w:val="num" w:pos="5760"/>
        </w:tabs>
        <w:ind w:left="5760" w:hanging="360"/>
      </w:pPr>
      <w:rPr>
        <w:rFonts w:ascii="Arial" w:hAnsi="Arial" w:hint="default"/>
      </w:rPr>
    </w:lvl>
    <w:lvl w:ilvl="8" w:tplc="2C0A05A6" w:tentative="1">
      <w:start w:val="1"/>
      <w:numFmt w:val="bullet"/>
      <w:lvlText w:val="–"/>
      <w:lvlJc w:val="left"/>
      <w:pPr>
        <w:tabs>
          <w:tab w:val="num" w:pos="6480"/>
        </w:tabs>
        <w:ind w:left="6480" w:hanging="360"/>
      </w:pPr>
      <w:rPr>
        <w:rFonts w:ascii="Arial" w:hAnsi="Arial" w:hint="default"/>
      </w:rPr>
    </w:lvl>
  </w:abstractNum>
  <w:abstractNum w:abstractNumId="8">
    <w:nsid w:val="55377607"/>
    <w:multiLevelType w:val="hybridMultilevel"/>
    <w:tmpl w:val="B3183A0E"/>
    <w:lvl w:ilvl="0" w:tplc="16A404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AE2DF0"/>
    <w:multiLevelType w:val="hybridMultilevel"/>
    <w:tmpl w:val="599C1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3052E0"/>
    <w:multiLevelType w:val="hybridMultilevel"/>
    <w:tmpl w:val="5374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B5796"/>
    <w:multiLevelType w:val="hybridMultilevel"/>
    <w:tmpl w:val="D8EEB598"/>
    <w:lvl w:ilvl="0" w:tplc="49E2C7C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C1117C"/>
    <w:multiLevelType w:val="hybridMultilevel"/>
    <w:tmpl w:val="F99A2A9A"/>
    <w:lvl w:ilvl="0" w:tplc="B6183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D513BB"/>
    <w:multiLevelType w:val="hybridMultilevel"/>
    <w:tmpl w:val="836E7BC2"/>
    <w:lvl w:ilvl="0" w:tplc="CD34D7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120A7C"/>
    <w:multiLevelType w:val="hybridMultilevel"/>
    <w:tmpl w:val="B6A6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4566FD"/>
    <w:multiLevelType w:val="hybridMultilevel"/>
    <w:tmpl w:val="7292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3"/>
  </w:num>
  <w:num w:numId="5">
    <w:abstractNumId w:val="12"/>
  </w:num>
  <w:num w:numId="6">
    <w:abstractNumId w:val="11"/>
  </w:num>
  <w:num w:numId="7">
    <w:abstractNumId w:val="8"/>
  </w:num>
  <w:num w:numId="8">
    <w:abstractNumId w:val="9"/>
  </w:num>
  <w:num w:numId="9">
    <w:abstractNumId w:val="6"/>
  </w:num>
  <w:num w:numId="10">
    <w:abstractNumId w:val="4"/>
  </w:num>
  <w:num w:numId="11">
    <w:abstractNumId w:val="10"/>
  </w:num>
  <w:num w:numId="12">
    <w:abstractNumId w:val="2"/>
  </w:num>
  <w:num w:numId="13">
    <w:abstractNumId w:val="1"/>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DF"/>
    <w:rsid w:val="00001625"/>
    <w:rsid w:val="00004A4D"/>
    <w:rsid w:val="000141D1"/>
    <w:rsid w:val="0002251D"/>
    <w:rsid w:val="0003031C"/>
    <w:rsid w:val="000373F2"/>
    <w:rsid w:val="00037567"/>
    <w:rsid w:val="00042945"/>
    <w:rsid w:val="00043E1C"/>
    <w:rsid w:val="00065812"/>
    <w:rsid w:val="00065E9E"/>
    <w:rsid w:val="0007024B"/>
    <w:rsid w:val="000727FA"/>
    <w:rsid w:val="000745F4"/>
    <w:rsid w:val="00080B2B"/>
    <w:rsid w:val="0008182A"/>
    <w:rsid w:val="000822EC"/>
    <w:rsid w:val="000839B6"/>
    <w:rsid w:val="00084FBE"/>
    <w:rsid w:val="00092142"/>
    <w:rsid w:val="000927D4"/>
    <w:rsid w:val="000A03E7"/>
    <w:rsid w:val="000A5FB5"/>
    <w:rsid w:val="000A7CFE"/>
    <w:rsid w:val="000A7D20"/>
    <w:rsid w:val="000A7DCD"/>
    <w:rsid w:val="000B245D"/>
    <w:rsid w:val="000B6FE8"/>
    <w:rsid w:val="000B7113"/>
    <w:rsid w:val="000C1234"/>
    <w:rsid w:val="000D06D0"/>
    <w:rsid w:val="000E61B0"/>
    <w:rsid w:val="000F15DF"/>
    <w:rsid w:val="000F338A"/>
    <w:rsid w:val="000F4CAF"/>
    <w:rsid w:val="001044A3"/>
    <w:rsid w:val="001047FD"/>
    <w:rsid w:val="00106989"/>
    <w:rsid w:val="00107BF0"/>
    <w:rsid w:val="00111417"/>
    <w:rsid w:val="00111E7A"/>
    <w:rsid w:val="001122A3"/>
    <w:rsid w:val="001153DB"/>
    <w:rsid w:val="00117A5E"/>
    <w:rsid w:val="00126118"/>
    <w:rsid w:val="00132BD0"/>
    <w:rsid w:val="00133023"/>
    <w:rsid w:val="00133D80"/>
    <w:rsid w:val="00137FB3"/>
    <w:rsid w:val="001409C2"/>
    <w:rsid w:val="001441FA"/>
    <w:rsid w:val="00144D54"/>
    <w:rsid w:val="001466AF"/>
    <w:rsid w:val="00151273"/>
    <w:rsid w:val="00154026"/>
    <w:rsid w:val="00155D01"/>
    <w:rsid w:val="00167843"/>
    <w:rsid w:val="001752A3"/>
    <w:rsid w:val="00180E1D"/>
    <w:rsid w:val="00181863"/>
    <w:rsid w:val="00185D4B"/>
    <w:rsid w:val="0018714F"/>
    <w:rsid w:val="00194F8D"/>
    <w:rsid w:val="00196F1E"/>
    <w:rsid w:val="001A36D4"/>
    <w:rsid w:val="001B4FF1"/>
    <w:rsid w:val="001B79AF"/>
    <w:rsid w:val="001C124C"/>
    <w:rsid w:val="001C1E00"/>
    <w:rsid w:val="001C2132"/>
    <w:rsid w:val="001D272B"/>
    <w:rsid w:val="001D29CE"/>
    <w:rsid w:val="001D664F"/>
    <w:rsid w:val="001D71D3"/>
    <w:rsid w:val="001E6C12"/>
    <w:rsid w:val="001E7A88"/>
    <w:rsid w:val="001F398D"/>
    <w:rsid w:val="001F5B08"/>
    <w:rsid w:val="001F7395"/>
    <w:rsid w:val="0020660F"/>
    <w:rsid w:val="00213D9C"/>
    <w:rsid w:val="002144C2"/>
    <w:rsid w:val="00217FB3"/>
    <w:rsid w:val="00220677"/>
    <w:rsid w:val="002223D3"/>
    <w:rsid w:val="00222C62"/>
    <w:rsid w:val="0022419B"/>
    <w:rsid w:val="00227784"/>
    <w:rsid w:val="002301D8"/>
    <w:rsid w:val="00231D83"/>
    <w:rsid w:val="00232DD1"/>
    <w:rsid w:val="002339B4"/>
    <w:rsid w:val="0023556F"/>
    <w:rsid w:val="00245938"/>
    <w:rsid w:val="00246E51"/>
    <w:rsid w:val="002518A8"/>
    <w:rsid w:val="00255E38"/>
    <w:rsid w:val="002571EB"/>
    <w:rsid w:val="002607DF"/>
    <w:rsid w:val="0026174B"/>
    <w:rsid w:val="00263C5A"/>
    <w:rsid w:val="002664FC"/>
    <w:rsid w:val="00267131"/>
    <w:rsid w:val="0027787D"/>
    <w:rsid w:val="00281CDF"/>
    <w:rsid w:val="0028548E"/>
    <w:rsid w:val="0029096A"/>
    <w:rsid w:val="00290A81"/>
    <w:rsid w:val="00292CA3"/>
    <w:rsid w:val="0029492E"/>
    <w:rsid w:val="00297CB4"/>
    <w:rsid w:val="00297EC1"/>
    <w:rsid w:val="002A0130"/>
    <w:rsid w:val="002A3239"/>
    <w:rsid w:val="002A3B93"/>
    <w:rsid w:val="002A6EC0"/>
    <w:rsid w:val="002A7641"/>
    <w:rsid w:val="002A799A"/>
    <w:rsid w:val="002B254C"/>
    <w:rsid w:val="002B350D"/>
    <w:rsid w:val="002C0622"/>
    <w:rsid w:val="002C2388"/>
    <w:rsid w:val="002C2948"/>
    <w:rsid w:val="002C36EF"/>
    <w:rsid w:val="002C382C"/>
    <w:rsid w:val="002D0C5F"/>
    <w:rsid w:val="002D0E93"/>
    <w:rsid w:val="002D16B9"/>
    <w:rsid w:val="002D4318"/>
    <w:rsid w:val="002D57AD"/>
    <w:rsid w:val="002D6F13"/>
    <w:rsid w:val="002E50FE"/>
    <w:rsid w:val="002E64BD"/>
    <w:rsid w:val="002F55EE"/>
    <w:rsid w:val="002F5602"/>
    <w:rsid w:val="00303B0C"/>
    <w:rsid w:val="0030443E"/>
    <w:rsid w:val="00304A2B"/>
    <w:rsid w:val="00314308"/>
    <w:rsid w:val="003208C0"/>
    <w:rsid w:val="00325321"/>
    <w:rsid w:val="00332932"/>
    <w:rsid w:val="00334BDB"/>
    <w:rsid w:val="003354EB"/>
    <w:rsid w:val="00341680"/>
    <w:rsid w:val="003417B1"/>
    <w:rsid w:val="00344187"/>
    <w:rsid w:val="00347AA6"/>
    <w:rsid w:val="0035049C"/>
    <w:rsid w:val="00351241"/>
    <w:rsid w:val="00353A28"/>
    <w:rsid w:val="003576F4"/>
    <w:rsid w:val="003617E1"/>
    <w:rsid w:val="00362109"/>
    <w:rsid w:val="00373CE5"/>
    <w:rsid w:val="0037509B"/>
    <w:rsid w:val="00376C6A"/>
    <w:rsid w:val="00381FEC"/>
    <w:rsid w:val="00386202"/>
    <w:rsid w:val="00393E1F"/>
    <w:rsid w:val="0039465B"/>
    <w:rsid w:val="003A068E"/>
    <w:rsid w:val="003A1AE5"/>
    <w:rsid w:val="003A225D"/>
    <w:rsid w:val="003A36C1"/>
    <w:rsid w:val="003A3F8F"/>
    <w:rsid w:val="003A667A"/>
    <w:rsid w:val="003A6D93"/>
    <w:rsid w:val="003B125F"/>
    <w:rsid w:val="003B3FE1"/>
    <w:rsid w:val="003B422D"/>
    <w:rsid w:val="003C7FDF"/>
    <w:rsid w:val="003D1F73"/>
    <w:rsid w:val="003D23F6"/>
    <w:rsid w:val="003D474A"/>
    <w:rsid w:val="003D6803"/>
    <w:rsid w:val="003E03B1"/>
    <w:rsid w:val="003E3FCA"/>
    <w:rsid w:val="003F1159"/>
    <w:rsid w:val="00402A95"/>
    <w:rsid w:val="00403E56"/>
    <w:rsid w:val="00405017"/>
    <w:rsid w:val="00427791"/>
    <w:rsid w:val="004326EE"/>
    <w:rsid w:val="0043791F"/>
    <w:rsid w:val="004413CE"/>
    <w:rsid w:val="00442A60"/>
    <w:rsid w:val="00442ECD"/>
    <w:rsid w:val="004442CF"/>
    <w:rsid w:val="00446582"/>
    <w:rsid w:val="0045646B"/>
    <w:rsid w:val="00456899"/>
    <w:rsid w:val="00462F3D"/>
    <w:rsid w:val="00467AF2"/>
    <w:rsid w:val="00472705"/>
    <w:rsid w:val="004741B2"/>
    <w:rsid w:val="0048322C"/>
    <w:rsid w:val="00496FCF"/>
    <w:rsid w:val="004974B2"/>
    <w:rsid w:val="004A7DFC"/>
    <w:rsid w:val="004B0273"/>
    <w:rsid w:val="004B0F49"/>
    <w:rsid w:val="004B6179"/>
    <w:rsid w:val="004C06F6"/>
    <w:rsid w:val="004C6EBB"/>
    <w:rsid w:val="004D285D"/>
    <w:rsid w:val="004D40C9"/>
    <w:rsid w:val="004E13B8"/>
    <w:rsid w:val="004E2742"/>
    <w:rsid w:val="004E423E"/>
    <w:rsid w:val="004F0B15"/>
    <w:rsid w:val="004F0F9E"/>
    <w:rsid w:val="004F7C5A"/>
    <w:rsid w:val="00504B0A"/>
    <w:rsid w:val="00505094"/>
    <w:rsid w:val="005050F7"/>
    <w:rsid w:val="005064A3"/>
    <w:rsid w:val="005064CB"/>
    <w:rsid w:val="00510507"/>
    <w:rsid w:val="00512684"/>
    <w:rsid w:val="00515AC4"/>
    <w:rsid w:val="00515B02"/>
    <w:rsid w:val="00520809"/>
    <w:rsid w:val="00524906"/>
    <w:rsid w:val="005276E1"/>
    <w:rsid w:val="005368CC"/>
    <w:rsid w:val="00540B75"/>
    <w:rsid w:val="00542D75"/>
    <w:rsid w:val="00551D85"/>
    <w:rsid w:val="005569D5"/>
    <w:rsid w:val="00560E53"/>
    <w:rsid w:val="00564103"/>
    <w:rsid w:val="00566012"/>
    <w:rsid w:val="00567ADB"/>
    <w:rsid w:val="005709BB"/>
    <w:rsid w:val="00573F44"/>
    <w:rsid w:val="005804CB"/>
    <w:rsid w:val="0059420D"/>
    <w:rsid w:val="005A2104"/>
    <w:rsid w:val="005A3696"/>
    <w:rsid w:val="005A44CA"/>
    <w:rsid w:val="005B1564"/>
    <w:rsid w:val="005B4A1F"/>
    <w:rsid w:val="005C00A0"/>
    <w:rsid w:val="005C1201"/>
    <w:rsid w:val="005C2585"/>
    <w:rsid w:val="005C332D"/>
    <w:rsid w:val="005C4B0A"/>
    <w:rsid w:val="005D22C4"/>
    <w:rsid w:val="005D3705"/>
    <w:rsid w:val="005D5573"/>
    <w:rsid w:val="005D66D0"/>
    <w:rsid w:val="005E380D"/>
    <w:rsid w:val="005E6CC4"/>
    <w:rsid w:val="005F53F2"/>
    <w:rsid w:val="005F7B23"/>
    <w:rsid w:val="0060127E"/>
    <w:rsid w:val="00601831"/>
    <w:rsid w:val="00603F69"/>
    <w:rsid w:val="00604C5E"/>
    <w:rsid w:val="0060583C"/>
    <w:rsid w:val="006068B9"/>
    <w:rsid w:val="006069AD"/>
    <w:rsid w:val="0061190C"/>
    <w:rsid w:val="00612862"/>
    <w:rsid w:val="0061376E"/>
    <w:rsid w:val="00613EA2"/>
    <w:rsid w:val="00626062"/>
    <w:rsid w:val="00631AE3"/>
    <w:rsid w:val="006344DB"/>
    <w:rsid w:val="006353D8"/>
    <w:rsid w:val="006358C2"/>
    <w:rsid w:val="00643AEF"/>
    <w:rsid w:val="006442EA"/>
    <w:rsid w:val="006554F3"/>
    <w:rsid w:val="006614DF"/>
    <w:rsid w:val="00665996"/>
    <w:rsid w:val="00670BF9"/>
    <w:rsid w:val="00671BA4"/>
    <w:rsid w:val="006727A7"/>
    <w:rsid w:val="00676BD9"/>
    <w:rsid w:val="00681658"/>
    <w:rsid w:val="006817BF"/>
    <w:rsid w:val="00681F40"/>
    <w:rsid w:val="00683C29"/>
    <w:rsid w:val="00686FBE"/>
    <w:rsid w:val="00687BC0"/>
    <w:rsid w:val="006910FD"/>
    <w:rsid w:val="00691452"/>
    <w:rsid w:val="00692EB1"/>
    <w:rsid w:val="006945F4"/>
    <w:rsid w:val="006956B8"/>
    <w:rsid w:val="006A100F"/>
    <w:rsid w:val="006A17D5"/>
    <w:rsid w:val="006A2C85"/>
    <w:rsid w:val="006A53EF"/>
    <w:rsid w:val="006A6B50"/>
    <w:rsid w:val="006B1D54"/>
    <w:rsid w:val="006C15EC"/>
    <w:rsid w:val="006C1E8F"/>
    <w:rsid w:val="006C21C9"/>
    <w:rsid w:val="006C31B7"/>
    <w:rsid w:val="006C4C9F"/>
    <w:rsid w:val="006C6B92"/>
    <w:rsid w:val="006D0897"/>
    <w:rsid w:val="006D2D56"/>
    <w:rsid w:val="006D44D5"/>
    <w:rsid w:val="006D5660"/>
    <w:rsid w:val="006E144C"/>
    <w:rsid w:val="006E1454"/>
    <w:rsid w:val="006E195E"/>
    <w:rsid w:val="006E2BC7"/>
    <w:rsid w:val="006F0AA4"/>
    <w:rsid w:val="007036D2"/>
    <w:rsid w:val="0070371B"/>
    <w:rsid w:val="00704F03"/>
    <w:rsid w:val="007107C5"/>
    <w:rsid w:val="007138E6"/>
    <w:rsid w:val="00717DF4"/>
    <w:rsid w:val="007253BA"/>
    <w:rsid w:val="007327EB"/>
    <w:rsid w:val="00735F4B"/>
    <w:rsid w:val="00736C09"/>
    <w:rsid w:val="0075001C"/>
    <w:rsid w:val="00751A98"/>
    <w:rsid w:val="007573F2"/>
    <w:rsid w:val="0076072B"/>
    <w:rsid w:val="00761D00"/>
    <w:rsid w:val="00765234"/>
    <w:rsid w:val="0076597C"/>
    <w:rsid w:val="00766908"/>
    <w:rsid w:val="0077692A"/>
    <w:rsid w:val="00781978"/>
    <w:rsid w:val="007824E5"/>
    <w:rsid w:val="007835B6"/>
    <w:rsid w:val="007857E2"/>
    <w:rsid w:val="00791ED7"/>
    <w:rsid w:val="007925F4"/>
    <w:rsid w:val="00793954"/>
    <w:rsid w:val="00795676"/>
    <w:rsid w:val="0079757B"/>
    <w:rsid w:val="007A0FF6"/>
    <w:rsid w:val="007A1FFD"/>
    <w:rsid w:val="007A40B8"/>
    <w:rsid w:val="007A40E3"/>
    <w:rsid w:val="007A572E"/>
    <w:rsid w:val="007A598A"/>
    <w:rsid w:val="007B05EF"/>
    <w:rsid w:val="007B3793"/>
    <w:rsid w:val="007C2E02"/>
    <w:rsid w:val="007C38E0"/>
    <w:rsid w:val="007D416D"/>
    <w:rsid w:val="007D5A8A"/>
    <w:rsid w:val="007D5CA9"/>
    <w:rsid w:val="007D791B"/>
    <w:rsid w:val="007F1041"/>
    <w:rsid w:val="007F1D0A"/>
    <w:rsid w:val="007F6E9C"/>
    <w:rsid w:val="007F78ED"/>
    <w:rsid w:val="00801087"/>
    <w:rsid w:val="00802AC6"/>
    <w:rsid w:val="00803654"/>
    <w:rsid w:val="00803D8A"/>
    <w:rsid w:val="00804728"/>
    <w:rsid w:val="0080586F"/>
    <w:rsid w:val="008070F2"/>
    <w:rsid w:val="00812379"/>
    <w:rsid w:val="00812B57"/>
    <w:rsid w:val="008165EC"/>
    <w:rsid w:val="008207E5"/>
    <w:rsid w:val="00822CF7"/>
    <w:rsid w:val="00823122"/>
    <w:rsid w:val="0082343E"/>
    <w:rsid w:val="008355EE"/>
    <w:rsid w:val="00841B8E"/>
    <w:rsid w:val="00842963"/>
    <w:rsid w:val="00843B2B"/>
    <w:rsid w:val="00850334"/>
    <w:rsid w:val="00850F5C"/>
    <w:rsid w:val="008522AE"/>
    <w:rsid w:val="008529F8"/>
    <w:rsid w:val="00852B1C"/>
    <w:rsid w:val="00854AC2"/>
    <w:rsid w:val="0085562F"/>
    <w:rsid w:val="00856B59"/>
    <w:rsid w:val="008601C4"/>
    <w:rsid w:val="00861E08"/>
    <w:rsid w:val="00866074"/>
    <w:rsid w:val="0087277B"/>
    <w:rsid w:val="00872B83"/>
    <w:rsid w:val="00874EC9"/>
    <w:rsid w:val="008825E3"/>
    <w:rsid w:val="008907F1"/>
    <w:rsid w:val="00891841"/>
    <w:rsid w:val="00893BFB"/>
    <w:rsid w:val="00894783"/>
    <w:rsid w:val="00895781"/>
    <w:rsid w:val="0089609A"/>
    <w:rsid w:val="00896936"/>
    <w:rsid w:val="00897BC9"/>
    <w:rsid w:val="008A1D23"/>
    <w:rsid w:val="008A2C17"/>
    <w:rsid w:val="008A4EBE"/>
    <w:rsid w:val="008B2142"/>
    <w:rsid w:val="008B3A2C"/>
    <w:rsid w:val="008B4831"/>
    <w:rsid w:val="008B5E8A"/>
    <w:rsid w:val="008B6702"/>
    <w:rsid w:val="008B778C"/>
    <w:rsid w:val="008C03C3"/>
    <w:rsid w:val="008C0E59"/>
    <w:rsid w:val="008C175B"/>
    <w:rsid w:val="008C30C8"/>
    <w:rsid w:val="008C55FA"/>
    <w:rsid w:val="008C6B3E"/>
    <w:rsid w:val="008D02B0"/>
    <w:rsid w:val="008D429B"/>
    <w:rsid w:val="008E1DCD"/>
    <w:rsid w:val="008E213B"/>
    <w:rsid w:val="008E2ACC"/>
    <w:rsid w:val="008E48D7"/>
    <w:rsid w:val="008E7CE2"/>
    <w:rsid w:val="008F11E6"/>
    <w:rsid w:val="008F2BBF"/>
    <w:rsid w:val="008F629D"/>
    <w:rsid w:val="00900CDE"/>
    <w:rsid w:val="009013E7"/>
    <w:rsid w:val="00901573"/>
    <w:rsid w:val="009027DE"/>
    <w:rsid w:val="00906C3A"/>
    <w:rsid w:val="00907068"/>
    <w:rsid w:val="00913C0B"/>
    <w:rsid w:val="009234AE"/>
    <w:rsid w:val="00932BAF"/>
    <w:rsid w:val="00933627"/>
    <w:rsid w:val="00937010"/>
    <w:rsid w:val="009376BD"/>
    <w:rsid w:val="009450C9"/>
    <w:rsid w:val="00956511"/>
    <w:rsid w:val="00956DA3"/>
    <w:rsid w:val="00961640"/>
    <w:rsid w:val="00961C72"/>
    <w:rsid w:val="00965856"/>
    <w:rsid w:val="00966470"/>
    <w:rsid w:val="009671EB"/>
    <w:rsid w:val="0096751E"/>
    <w:rsid w:val="00970507"/>
    <w:rsid w:val="00972A87"/>
    <w:rsid w:val="0097372F"/>
    <w:rsid w:val="00975022"/>
    <w:rsid w:val="00976679"/>
    <w:rsid w:val="00976978"/>
    <w:rsid w:val="00981BAB"/>
    <w:rsid w:val="00984949"/>
    <w:rsid w:val="009856C4"/>
    <w:rsid w:val="00987933"/>
    <w:rsid w:val="00991F3A"/>
    <w:rsid w:val="00992897"/>
    <w:rsid w:val="0099409C"/>
    <w:rsid w:val="00994A89"/>
    <w:rsid w:val="009974C5"/>
    <w:rsid w:val="009A4338"/>
    <w:rsid w:val="009B39AE"/>
    <w:rsid w:val="009C4AC9"/>
    <w:rsid w:val="009D1D80"/>
    <w:rsid w:val="009D3DA3"/>
    <w:rsid w:val="009D6336"/>
    <w:rsid w:val="009D739C"/>
    <w:rsid w:val="009E35E6"/>
    <w:rsid w:val="009E4FA9"/>
    <w:rsid w:val="009E5237"/>
    <w:rsid w:val="009E52F0"/>
    <w:rsid w:val="009F3E1D"/>
    <w:rsid w:val="009F411F"/>
    <w:rsid w:val="009F58E6"/>
    <w:rsid w:val="009F5D79"/>
    <w:rsid w:val="009F5F97"/>
    <w:rsid w:val="009F6A5F"/>
    <w:rsid w:val="00A0245F"/>
    <w:rsid w:val="00A0407A"/>
    <w:rsid w:val="00A05EE0"/>
    <w:rsid w:val="00A11016"/>
    <w:rsid w:val="00A143FF"/>
    <w:rsid w:val="00A16B8C"/>
    <w:rsid w:val="00A179EE"/>
    <w:rsid w:val="00A20EB5"/>
    <w:rsid w:val="00A349F7"/>
    <w:rsid w:val="00A34D37"/>
    <w:rsid w:val="00A3661B"/>
    <w:rsid w:val="00A37F1B"/>
    <w:rsid w:val="00A43164"/>
    <w:rsid w:val="00A46B42"/>
    <w:rsid w:val="00A46CA7"/>
    <w:rsid w:val="00A5031D"/>
    <w:rsid w:val="00A50386"/>
    <w:rsid w:val="00A514C3"/>
    <w:rsid w:val="00A57F6A"/>
    <w:rsid w:val="00A6078F"/>
    <w:rsid w:val="00A61B0B"/>
    <w:rsid w:val="00A66A03"/>
    <w:rsid w:val="00A70A6A"/>
    <w:rsid w:val="00A71FE8"/>
    <w:rsid w:val="00A82B16"/>
    <w:rsid w:val="00A847F2"/>
    <w:rsid w:val="00A90A96"/>
    <w:rsid w:val="00A95F97"/>
    <w:rsid w:val="00A9694C"/>
    <w:rsid w:val="00AA24C3"/>
    <w:rsid w:val="00AA3502"/>
    <w:rsid w:val="00AA6426"/>
    <w:rsid w:val="00AB04D3"/>
    <w:rsid w:val="00AB3183"/>
    <w:rsid w:val="00AB5B21"/>
    <w:rsid w:val="00AB5CFD"/>
    <w:rsid w:val="00AC1228"/>
    <w:rsid w:val="00AD0B24"/>
    <w:rsid w:val="00AD3301"/>
    <w:rsid w:val="00AD5F14"/>
    <w:rsid w:val="00AD6264"/>
    <w:rsid w:val="00AD6F07"/>
    <w:rsid w:val="00AD71F1"/>
    <w:rsid w:val="00AD7463"/>
    <w:rsid w:val="00AE0928"/>
    <w:rsid w:val="00AE1B98"/>
    <w:rsid w:val="00AE32E4"/>
    <w:rsid w:val="00AE4EDB"/>
    <w:rsid w:val="00AF049A"/>
    <w:rsid w:val="00AF35E0"/>
    <w:rsid w:val="00AF524E"/>
    <w:rsid w:val="00B0438F"/>
    <w:rsid w:val="00B074D9"/>
    <w:rsid w:val="00B15EC0"/>
    <w:rsid w:val="00B162D7"/>
    <w:rsid w:val="00B210CB"/>
    <w:rsid w:val="00B21D5E"/>
    <w:rsid w:val="00B26B36"/>
    <w:rsid w:val="00B27308"/>
    <w:rsid w:val="00B27CBD"/>
    <w:rsid w:val="00B30FCA"/>
    <w:rsid w:val="00B34277"/>
    <w:rsid w:val="00B37269"/>
    <w:rsid w:val="00B402E3"/>
    <w:rsid w:val="00B41142"/>
    <w:rsid w:val="00B43443"/>
    <w:rsid w:val="00B44038"/>
    <w:rsid w:val="00B4517A"/>
    <w:rsid w:val="00B4714A"/>
    <w:rsid w:val="00B47E7E"/>
    <w:rsid w:val="00B51AB2"/>
    <w:rsid w:val="00B57372"/>
    <w:rsid w:val="00B60947"/>
    <w:rsid w:val="00B61483"/>
    <w:rsid w:val="00B62B5A"/>
    <w:rsid w:val="00B65ABF"/>
    <w:rsid w:val="00B7532B"/>
    <w:rsid w:val="00B8479C"/>
    <w:rsid w:val="00B87515"/>
    <w:rsid w:val="00B8763A"/>
    <w:rsid w:val="00B9435C"/>
    <w:rsid w:val="00B95696"/>
    <w:rsid w:val="00BA00F0"/>
    <w:rsid w:val="00BA11A8"/>
    <w:rsid w:val="00BA2C3D"/>
    <w:rsid w:val="00BB0D10"/>
    <w:rsid w:val="00BB18BF"/>
    <w:rsid w:val="00BB5FFB"/>
    <w:rsid w:val="00BB61C6"/>
    <w:rsid w:val="00BB7539"/>
    <w:rsid w:val="00BC5249"/>
    <w:rsid w:val="00BC5B59"/>
    <w:rsid w:val="00BC7892"/>
    <w:rsid w:val="00BD20DB"/>
    <w:rsid w:val="00BD29F6"/>
    <w:rsid w:val="00BD2D2A"/>
    <w:rsid w:val="00BD3AB3"/>
    <w:rsid w:val="00BD5179"/>
    <w:rsid w:val="00BD79F5"/>
    <w:rsid w:val="00BF22C8"/>
    <w:rsid w:val="00BF2EFE"/>
    <w:rsid w:val="00BF5604"/>
    <w:rsid w:val="00BF602C"/>
    <w:rsid w:val="00C02C01"/>
    <w:rsid w:val="00C02D8D"/>
    <w:rsid w:val="00C0598A"/>
    <w:rsid w:val="00C05FAB"/>
    <w:rsid w:val="00C07AEF"/>
    <w:rsid w:val="00C07BE9"/>
    <w:rsid w:val="00C07C67"/>
    <w:rsid w:val="00C13C19"/>
    <w:rsid w:val="00C150CE"/>
    <w:rsid w:val="00C163C3"/>
    <w:rsid w:val="00C2702C"/>
    <w:rsid w:val="00C31E87"/>
    <w:rsid w:val="00C35780"/>
    <w:rsid w:val="00C43436"/>
    <w:rsid w:val="00C44E50"/>
    <w:rsid w:val="00C47D1E"/>
    <w:rsid w:val="00C514BB"/>
    <w:rsid w:val="00C54338"/>
    <w:rsid w:val="00C560A5"/>
    <w:rsid w:val="00C61A8F"/>
    <w:rsid w:val="00C63A10"/>
    <w:rsid w:val="00C64137"/>
    <w:rsid w:val="00C64711"/>
    <w:rsid w:val="00C64CAF"/>
    <w:rsid w:val="00C65AE9"/>
    <w:rsid w:val="00C66853"/>
    <w:rsid w:val="00C71E98"/>
    <w:rsid w:val="00C72AE3"/>
    <w:rsid w:val="00C72F98"/>
    <w:rsid w:val="00C80A5B"/>
    <w:rsid w:val="00C83479"/>
    <w:rsid w:val="00C8659F"/>
    <w:rsid w:val="00C93016"/>
    <w:rsid w:val="00CA2E7E"/>
    <w:rsid w:val="00CB0BEB"/>
    <w:rsid w:val="00CB428C"/>
    <w:rsid w:val="00CB4B2A"/>
    <w:rsid w:val="00CC2300"/>
    <w:rsid w:val="00CC472B"/>
    <w:rsid w:val="00CD3DA3"/>
    <w:rsid w:val="00CD463B"/>
    <w:rsid w:val="00CE3B9C"/>
    <w:rsid w:val="00CE55E1"/>
    <w:rsid w:val="00CE66E5"/>
    <w:rsid w:val="00CF000C"/>
    <w:rsid w:val="00CF3797"/>
    <w:rsid w:val="00CF4BC2"/>
    <w:rsid w:val="00CF4E6D"/>
    <w:rsid w:val="00CF691A"/>
    <w:rsid w:val="00CF7918"/>
    <w:rsid w:val="00D0044B"/>
    <w:rsid w:val="00D0195A"/>
    <w:rsid w:val="00D108E3"/>
    <w:rsid w:val="00D11952"/>
    <w:rsid w:val="00D12138"/>
    <w:rsid w:val="00D13A24"/>
    <w:rsid w:val="00D14163"/>
    <w:rsid w:val="00D16B9F"/>
    <w:rsid w:val="00D16C3A"/>
    <w:rsid w:val="00D202A2"/>
    <w:rsid w:val="00D21D9F"/>
    <w:rsid w:val="00D237DC"/>
    <w:rsid w:val="00D24B99"/>
    <w:rsid w:val="00D25140"/>
    <w:rsid w:val="00D26178"/>
    <w:rsid w:val="00D307F4"/>
    <w:rsid w:val="00D325AE"/>
    <w:rsid w:val="00D337EB"/>
    <w:rsid w:val="00D357DE"/>
    <w:rsid w:val="00D51C37"/>
    <w:rsid w:val="00D54B90"/>
    <w:rsid w:val="00D55D52"/>
    <w:rsid w:val="00D572EC"/>
    <w:rsid w:val="00D57810"/>
    <w:rsid w:val="00D61759"/>
    <w:rsid w:val="00D622F8"/>
    <w:rsid w:val="00D627BE"/>
    <w:rsid w:val="00D63D78"/>
    <w:rsid w:val="00D64FF1"/>
    <w:rsid w:val="00D660C2"/>
    <w:rsid w:val="00D7262B"/>
    <w:rsid w:val="00D7696A"/>
    <w:rsid w:val="00D81350"/>
    <w:rsid w:val="00D81EEF"/>
    <w:rsid w:val="00D82D94"/>
    <w:rsid w:val="00D831D7"/>
    <w:rsid w:val="00DA0270"/>
    <w:rsid w:val="00DA216B"/>
    <w:rsid w:val="00DA4747"/>
    <w:rsid w:val="00DA5577"/>
    <w:rsid w:val="00DA7B89"/>
    <w:rsid w:val="00DB1566"/>
    <w:rsid w:val="00DB26D5"/>
    <w:rsid w:val="00DC42DB"/>
    <w:rsid w:val="00DC5502"/>
    <w:rsid w:val="00DC73A7"/>
    <w:rsid w:val="00DC7403"/>
    <w:rsid w:val="00DD013C"/>
    <w:rsid w:val="00DD0532"/>
    <w:rsid w:val="00DD3205"/>
    <w:rsid w:val="00DD5EEE"/>
    <w:rsid w:val="00DF53B9"/>
    <w:rsid w:val="00DF54E3"/>
    <w:rsid w:val="00DF6D42"/>
    <w:rsid w:val="00E02189"/>
    <w:rsid w:val="00E0539F"/>
    <w:rsid w:val="00E05411"/>
    <w:rsid w:val="00E054C9"/>
    <w:rsid w:val="00E10DE5"/>
    <w:rsid w:val="00E12199"/>
    <w:rsid w:val="00E16E12"/>
    <w:rsid w:val="00E24FB0"/>
    <w:rsid w:val="00E252F8"/>
    <w:rsid w:val="00E27150"/>
    <w:rsid w:val="00E275EF"/>
    <w:rsid w:val="00E304F8"/>
    <w:rsid w:val="00E31A03"/>
    <w:rsid w:val="00E35990"/>
    <w:rsid w:val="00E35C0A"/>
    <w:rsid w:val="00E360A5"/>
    <w:rsid w:val="00E446CD"/>
    <w:rsid w:val="00E456EB"/>
    <w:rsid w:val="00E47258"/>
    <w:rsid w:val="00E47B1F"/>
    <w:rsid w:val="00E51210"/>
    <w:rsid w:val="00E522D5"/>
    <w:rsid w:val="00E55BC8"/>
    <w:rsid w:val="00E57923"/>
    <w:rsid w:val="00E61FD7"/>
    <w:rsid w:val="00E62769"/>
    <w:rsid w:val="00E64D30"/>
    <w:rsid w:val="00E66884"/>
    <w:rsid w:val="00E670C0"/>
    <w:rsid w:val="00E67561"/>
    <w:rsid w:val="00E709DF"/>
    <w:rsid w:val="00E75692"/>
    <w:rsid w:val="00E76D63"/>
    <w:rsid w:val="00E835BC"/>
    <w:rsid w:val="00E850E8"/>
    <w:rsid w:val="00E87418"/>
    <w:rsid w:val="00E96DA1"/>
    <w:rsid w:val="00EA59C8"/>
    <w:rsid w:val="00EB34EC"/>
    <w:rsid w:val="00EB4DB3"/>
    <w:rsid w:val="00EB4DFA"/>
    <w:rsid w:val="00EB5490"/>
    <w:rsid w:val="00EC330D"/>
    <w:rsid w:val="00EC767D"/>
    <w:rsid w:val="00ED30EF"/>
    <w:rsid w:val="00ED3C39"/>
    <w:rsid w:val="00ED7BD9"/>
    <w:rsid w:val="00EE3177"/>
    <w:rsid w:val="00EE43B0"/>
    <w:rsid w:val="00EE4435"/>
    <w:rsid w:val="00EE56FE"/>
    <w:rsid w:val="00EF7A68"/>
    <w:rsid w:val="00F029E2"/>
    <w:rsid w:val="00F07C58"/>
    <w:rsid w:val="00F1590B"/>
    <w:rsid w:val="00F17442"/>
    <w:rsid w:val="00F17DA1"/>
    <w:rsid w:val="00F226D0"/>
    <w:rsid w:val="00F25AB7"/>
    <w:rsid w:val="00F27A3D"/>
    <w:rsid w:val="00F505B1"/>
    <w:rsid w:val="00F5095C"/>
    <w:rsid w:val="00F5382A"/>
    <w:rsid w:val="00F54247"/>
    <w:rsid w:val="00F54900"/>
    <w:rsid w:val="00F549F7"/>
    <w:rsid w:val="00F54B4E"/>
    <w:rsid w:val="00F5549A"/>
    <w:rsid w:val="00F63797"/>
    <w:rsid w:val="00F640ED"/>
    <w:rsid w:val="00F645CD"/>
    <w:rsid w:val="00F64C32"/>
    <w:rsid w:val="00F64DEA"/>
    <w:rsid w:val="00F661AA"/>
    <w:rsid w:val="00F70F1F"/>
    <w:rsid w:val="00F72F62"/>
    <w:rsid w:val="00F806DD"/>
    <w:rsid w:val="00F8188B"/>
    <w:rsid w:val="00F9709D"/>
    <w:rsid w:val="00F97B0C"/>
    <w:rsid w:val="00FA1161"/>
    <w:rsid w:val="00FA1C14"/>
    <w:rsid w:val="00FB0A28"/>
    <w:rsid w:val="00FB31B5"/>
    <w:rsid w:val="00FB7126"/>
    <w:rsid w:val="00FC03FD"/>
    <w:rsid w:val="00FC3547"/>
    <w:rsid w:val="00FC40D0"/>
    <w:rsid w:val="00FC4708"/>
    <w:rsid w:val="00FD0DEE"/>
    <w:rsid w:val="00FD0EB3"/>
    <w:rsid w:val="00FE1055"/>
    <w:rsid w:val="00FF2866"/>
    <w:rsid w:val="00FF2EF3"/>
    <w:rsid w:val="00FF4601"/>
    <w:rsid w:val="0C9577D8"/>
    <w:rsid w:val="16EBD350"/>
    <w:rsid w:val="32F30848"/>
    <w:rsid w:val="496F62E8"/>
    <w:rsid w:val="4A5E5E20"/>
    <w:rsid w:val="507FCA8A"/>
    <w:rsid w:val="7A2966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5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2F98"/>
    <w:pPr>
      <w:tabs>
        <w:tab w:val="center" w:pos="4536"/>
        <w:tab w:val="right" w:pos="9072"/>
      </w:tabs>
    </w:pPr>
  </w:style>
  <w:style w:type="paragraph" w:styleId="Pieddepage">
    <w:name w:val="footer"/>
    <w:basedOn w:val="Normal"/>
    <w:rsid w:val="00C72F98"/>
    <w:pPr>
      <w:tabs>
        <w:tab w:val="center" w:pos="4536"/>
        <w:tab w:val="right" w:pos="9072"/>
      </w:tabs>
    </w:pPr>
  </w:style>
  <w:style w:type="character" w:styleId="Lienhypertexte">
    <w:name w:val="Hyperlink"/>
    <w:rsid w:val="00C72F98"/>
    <w:rPr>
      <w:color w:val="0000FF"/>
      <w:u w:val="single"/>
    </w:rPr>
  </w:style>
  <w:style w:type="character" w:customStyle="1" w:styleId="Administrateur">
    <w:name w:val="Administrateur"/>
    <w:semiHidden/>
    <w:rsid w:val="00C72F98"/>
    <w:rPr>
      <w:rFonts w:ascii="Arial" w:hAnsi="Arial" w:cs="Arial"/>
      <w:color w:val="auto"/>
      <w:sz w:val="20"/>
      <w:szCs w:val="20"/>
    </w:rPr>
  </w:style>
  <w:style w:type="paragraph" w:customStyle="1" w:styleId="Default">
    <w:name w:val="Default"/>
    <w:rsid w:val="0076597C"/>
    <w:pPr>
      <w:autoSpaceDE w:val="0"/>
      <w:autoSpaceDN w:val="0"/>
      <w:adjustRightInd w:val="0"/>
    </w:pPr>
    <w:rPr>
      <w:color w:val="000000"/>
      <w:sz w:val="24"/>
      <w:szCs w:val="24"/>
      <w:lang w:eastAsia="fr-FR"/>
    </w:rPr>
  </w:style>
  <w:style w:type="paragraph" w:styleId="Paragraphedeliste">
    <w:name w:val="List Paragraph"/>
    <w:basedOn w:val="Normal"/>
    <w:uiPriority w:val="34"/>
    <w:qFormat/>
    <w:rsid w:val="00402A95"/>
    <w:pPr>
      <w:ind w:left="708"/>
    </w:pPr>
  </w:style>
  <w:style w:type="character" w:customStyle="1" w:styleId="st">
    <w:name w:val="st"/>
    <w:rsid w:val="00304A2B"/>
  </w:style>
  <w:style w:type="character" w:customStyle="1" w:styleId="rwrro">
    <w:name w:val="rwrro"/>
    <w:rsid w:val="00515AC4"/>
  </w:style>
  <w:style w:type="character" w:customStyle="1" w:styleId="UnresolvedMention">
    <w:name w:val="Unresolved Mention"/>
    <w:uiPriority w:val="99"/>
    <w:semiHidden/>
    <w:unhideWhenUsed/>
    <w:rsid w:val="00E51210"/>
    <w:rPr>
      <w:color w:val="808080"/>
      <w:shd w:val="clear" w:color="auto" w:fill="E6E6E6"/>
    </w:rPr>
  </w:style>
  <w:style w:type="paragraph" w:styleId="Bibliographie">
    <w:name w:val="Bibliography"/>
    <w:basedOn w:val="Normal"/>
    <w:next w:val="Normal"/>
    <w:uiPriority w:val="37"/>
    <w:unhideWhenUsed/>
    <w:rsid w:val="001044A3"/>
    <w:pPr>
      <w:tabs>
        <w:tab w:val="left" w:pos="384"/>
      </w:tabs>
      <w:spacing w:after="240"/>
      <w:ind w:left="384" w:hanging="384"/>
    </w:pPr>
  </w:style>
  <w:style w:type="character" w:styleId="Marquedecommentaire">
    <w:name w:val="annotation reference"/>
    <w:rsid w:val="00092142"/>
    <w:rPr>
      <w:sz w:val="16"/>
      <w:szCs w:val="16"/>
    </w:rPr>
  </w:style>
  <w:style w:type="paragraph" w:styleId="Commentaire">
    <w:name w:val="annotation text"/>
    <w:basedOn w:val="Normal"/>
    <w:link w:val="CommentaireCar"/>
    <w:rsid w:val="00092142"/>
    <w:rPr>
      <w:sz w:val="20"/>
      <w:szCs w:val="20"/>
    </w:rPr>
  </w:style>
  <w:style w:type="character" w:customStyle="1" w:styleId="CommentaireCar">
    <w:name w:val="Commentaire Car"/>
    <w:link w:val="Commentaire"/>
    <w:rsid w:val="00092142"/>
    <w:rPr>
      <w:lang w:val="en-US"/>
    </w:rPr>
  </w:style>
  <w:style w:type="paragraph" w:styleId="Objetducommentaire">
    <w:name w:val="annotation subject"/>
    <w:basedOn w:val="Commentaire"/>
    <w:next w:val="Commentaire"/>
    <w:link w:val="ObjetducommentaireCar"/>
    <w:rsid w:val="00092142"/>
    <w:rPr>
      <w:b/>
      <w:bCs/>
    </w:rPr>
  </w:style>
  <w:style w:type="character" w:customStyle="1" w:styleId="ObjetducommentaireCar">
    <w:name w:val="Objet du commentaire Car"/>
    <w:link w:val="Objetducommentaire"/>
    <w:rsid w:val="00092142"/>
    <w:rPr>
      <w:b/>
      <w:bCs/>
      <w:lang w:val="en-US"/>
    </w:rPr>
  </w:style>
  <w:style w:type="paragraph" w:styleId="Textedebulles">
    <w:name w:val="Balloon Text"/>
    <w:basedOn w:val="Normal"/>
    <w:link w:val="TextedebullesCar"/>
    <w:rsid w:val="00092142"/>
    <w:rPr>
      <w:rFonts w:ascii="Segoe UI" w:hAnsi="Segoe UI" w:cs="Segoe UI"/>
      <w:sz w:val="18"/>
      <w:szCs w:val="18"/>
    </w:rPr>
  </w:style>
  <w:style w:type="character" w:customStyle="1" w:styleId="TextedebullesCar">
    <w:name w:val="Texte de bulles Car"/>
    <w:link w:val="Textedebulles"/>
    <w:rsid w:val="00092142"/>
    <w:rPr>
      <w:rFonts w:ascii="Segoe UI" w:hAnsi="Segoe UI" w:cs="Segoe UI"/>
      <w:sz w:val="18"/>
      <w:szCs w:val="18"/>
      <w:lang w:val="en-US"/>
    </w:rPr>
  </w:style>
  <w:style w:type="character" w:customStyle="1" w:styleId="rwrr">
    <w:name w:val="rwrr"/>
    <w:rsid w:val="00167843"/>
  </w:style>
  <w:style w:type="table" w:styleId="Grilledutableau">
    <w:name w:val="Table Grid"/>
    <w:basedOn w:val="TableauNormal"/>
    <w:rsid w:val="0016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auNormal"/>
    <w:uiPriority w:val="46"/>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2F98"/>
    <w:pPr>
      <w:tabs>
        <w:tab w:val="center" w:pos="4536"/>
        <w:tab w:val="right" w:pos="9072"/>
      </w:tabs>
    </w:pPr>
  </w:style>
  <w:style w:type="paragraph" w:styleId="Pieddepage">
    <w:name w:val="footer"/>
    <w:basedOn w:val="Normal"/>
    <w:rsid w:val="00C72F98"/>
    <w:pPr>
      <w:tabs>
        <w:tab w:val="center" w:pos="4536"/>
        <w:tab w:val="right" w:pos="9072"/>
      </w:tabs>
    </w:pPr>
  </w:style>
  <w:style w:type="character" w:styleId="Lienhypertexte">
    <w:name w:val="Hyperlink"/>
    <w:rsid w:val="00C72F98"/>
    <w:rPr>
      <w:color w:val="0000FF"/>
      <w:u w:val="single"/>
    </w:rPr>
  </w:style>
  <w:style w:type="character" w:customStyle="1" w:styleId="Administrateur">
    <w:name w:val="Administrateur"/>
    <w:semiHidden/>
    <w:rsid w:val="00C72F98"/>
    <w:rPr>
      <w:rFonts w:ascii="Arial" w:hAnsi="Arial" w:cs="Arial"/>
      <w:color w:val="auto"/>
      <w:sz w:val="20"/>
      <w:szCs w:val="20"/>
    </w:rPr>
  </w:style>
  <w:style w:type="paragraph" w:customStyle="1" w:styleId="Default">
    <w:name w:val="Default"/>
    <w:rsid w:val="0076597C"/>
    <w:pPr>
      <w:autoSpaceDE w:val="0"/>
      <w:autoSpaceDN w:val="0"/>
      <w:adjustRightInd w:val="0"/>
    </w:pPr>
    <w:rPr>
      <w:color w:val="000000"/>
      <w:sz w:val="24"/>
      <w:szCs w:val="24"/>
      <w:lang w:eastAsia="fr-FR"/>
    </w:rPr>
  </w:style>
  <w:style w:type="paragraph" w:styleId="Paragraphedeliste">
    <w:name w:val="List Paragraph"/>
    <w:basedOn w:val="Normal"/>
    <w:uiPriority w:val="34"/>
    <w:qFormat/>
    <w:rsid w:val="00402A95"/>
    <w:pPr>
      <w:ind w:left="708"/>
    </w:pPr>
  </w:style>
  <w:style w:type="character" w:customStyle="1" w:styleId="st">
    <w:name w:val="st"/>
    <w:rsid w:val="00304A2B"/>
  </w:style>
  <w:style w:type="character" w:customStyle="1" w:styleId="rwrro">
    <w:name w:val="rwrro"/>
    <w:rsid w:val="00515AC4"/>
  </w:style>
  <w:style w:type="character" w:customStyle="1" w:styleId="UnresolvedMention">
    <w:name w:val="Unresolved Mention"/>
    <w:uiPriority w:val="99"/>
    <w:semiHidden/>
    <w:unhideWhenUsed/>
    <w:rsid w:val="00E51210"/>
    <w:rPr>
      <w:color w:val="808080"/>
      <w:shd w:val="clear" w:color="auto" w:fill="E6E6E6"/>
    </w:rPr>
  </w:style>
  <w:style w:type="paragraph" w:styleId="Bibliographie">
    <w:name w:val="Bibliography"/>
    <w:basedOn w:val="Normal"/>
    <w:next w:val="Normal"/>
    <w:uiPriority w:val="37"/>
    <w:unhideWhenUsed/>
    <w:rsid w:val="001044A3"/>
    <w:pPr>
      <w:tabs>
        <w:tab w:val="left" w:pos="384"/>
      </w:tabs>
      <w:spacing w:after="240"/>
      <w:ind w:left="384" w:hanging="384"/>
    </w:pPr>
  </w:style>
  <w:style w:type="character" w:styleId="Marquedecommentaire">
    <w:name w:val="annotation reference"/>
    <w:rsid w:val="00092142"/>
    <w:rPr>
      <w:sz w:val="16"/>
      <w:szCs w:val="16"/>
    </w:rPr>
  </w:style>
  <w:style w:type="paragraph" w:styleId="Commentaire">
    <w:name w:val="annotation text"/>
    <w:basedOn w:val="Normal"/>
    <w:link w:val="CommentaireCar"/>
    <w:rsid w:val="00092142"/>
    <w:rPr>
      <w:sz w:val="20"/>
      <w:szCs w:val="20"/>
    </w:rPr>
  </w:style>
  <w:style w:type="character" w:customStyle="1" w:styleId="CommentaireCar">
    <w:name w:val="Commentaire Car"/>
    <w:link w:val="Commentaire"/>
    <w:rsid w:val="00092142"/>
    <w:rPr>
      <w:lang w:val="en-US"/>
    </w:rPr>
  </w:style>
  <w:style w:type="paragraph" w:styleId="Objetducommentaire">
    <w:name w:val="annotation subject"/>
    <w:basedOn w:val="Commentaire"/>
    <w:next w:val="Commentaire"/>
    <w:link w:val="ObjetducommentaireCar"/>
    <w:rsid w:val="00092142"/>
    <w:rPr>
      <w:b/>
      <w:bCs/>
    </w:rPr>
  </w:style>
  <w:style w:type="character" w:customStyle="1" w:styleId="ObjetducommentaireCar">
    <w:name w:val="Objet du commentaire Car"/>
    <w:link w:val="Objetducommentaire"/>
    <w:rsid w:val="00092142"/>
    <w:rPr>
      <w:b/>
      <w:bCs/>
      <w:lang w:val="en-US"/>
    </w:rPr>
  </w:style>
  <w:style w:type="paragraph" w:styleId="Textedebulles">
    <w:name w:val="Balloon Text"/>
    <w:basedOn w:val="Normal"/>
    <w:link w:val="TextedebullesCar"/>
    <w:rsid w:val="00092142"/>
    <w:rPr>
      <w:rFonts w:ascii="Segoe UI" w:hAnsi="Segoe UI" w:cs="Segoe UI"/>
      <w:sz w:val="18"/>
      <w:szCs w:val="18"/>
    </w:rPr>
  </w:style>
  <w:style w:type="character" w:customStyle="1" w:styleId="TextedebullesCar">
    <w:name w:val="Texte de bulles Car"/>
    <w:link w:val="Textedebulles"/>
    <w:rsid w:val="00092142"/>
    <w:rPr>
      <w:rFonts w:ascii="Segoe UI" w:hAnsi="Segoe UI" w:cs="Segoe UI"/>
      <w:sz w:val="18"/>
      <w:szCs w:val="18"/>
      <w:lang w:val="en-US"/>
    </w:rPr>
  </w:style>
  <w:style w:type="character" w:customStyle="1" w:styleId="rwrr">
    <w:name w:val="rwrr"/>
    <w:rsid w:val="00167843"/>
  </w:style>
  <w:style w:type="table" w:styleId="Grilledutableau">
    <w:name w:val="Table Grid"/>
    <w:basedOn w:val="TableauNormal"/>
    <w:rsid w:val="0016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auNormal"/>
    <w:uiPriority w:val="46"/>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2831">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
        <w:div w:id="1171141640">
          <w:marLeft w:val="0"/>
          <w:marRight w:val="0"/>
          <w:marTop w:val="0"/>
          <w:marBottom w:val="0"/>
          <w:divBdr>
            <w:top w:val="none" w:sz="0" w:space="0" w:color="auto"/>
            <w:left w:val="none" w:sz="0" w:space="0" w:color="auto"/>
            <w:bottom w:val="none" w:sz="0" w:space="0" w:color="auto"/>
            <w:right w:val="none" w:sz="0" w:space="0" w:color="auto"/>
          </w:divBdr>
        </w:div>
        <w:div w:id="1266765475">
          <w:marLeft w:val="0"/>
          <w:marRight w:val="0"/>
          <w:marTop w:val="0"/>
          <w:marBottom w:val="0"/>
          <w:divBdr>
            <w:top w:val="none" w:sz="0" w:space="0" w:color="auto"/>
            <w:left w:val="none" w:sz="0" w:space="0" w:color="auto"/>
            <w:bottom w:val="none" w:sz="0" w:space="0" w:color="auto"/>
            <w:right w:val="none" w:sz="0" w:space="0" w:color="auto"/>
          </w:divBdr>
        </w:div>
        <w:div w:id="1813912384">
          <w:marLeft w:val="0"/>
          <w:marRight w:val="0"/>
          <w:marTop w:val="0"/>
          <w:marBottom w:val="0"/>
          <w:divBdr>
            <w:top w:val="none" w:sz="0" w:space="0" w:color="auto"/>
            <w:left w:val="none" w:sz="0" w:space="0" w:color="auto"/>
            <w:bottom w:val="none" w:sz="0" w:space="0" w:color="auto"/>
            <w:right w:val="none" w:sz="0" w:space="0" w:color="auto"/>
          </w:divBdr>
        </w:div>
        <w:div w:id="2082750315">
          <w:marLeft w:val="0"/>
          <w:marRight w:val="0"/>
          <w:marTop w:val="0"/>
          <w:marBottom w:val="0"/>
          <w:divBdr>
            <w:top w:val="none" w:sz="0" w:space="0" w:color="auto"/>
            <w:left w:val="none" w:sz="0" w:space="0" w:color="auto"/>
            <w:bottom w:val="none" w:sz="0" w:space="0" w:color="auto"/>
            <w:right w:val="none" w:sz="0" w:space="0" w:color="auto"/>
          </w:divBdr>
        </w:div>
      </w:divsChild>
    </w:div>
    <w:div w:id="710348217">
      <w:bodyDiv w:val="1"/>
      <w:marLeft w:val="0"/>
      <w:marRight w:val="0"/>
      <w:marTop w:val="0"/>
      <w:marBottom w:val="0"/>
      <w:divBdr>
        <w:top w:val="none" w:sz="0" w:space="0" w:color="auto"/>
        <w:left w:val="none" w:sz="0" w:space="0" w:color="auto"/>
        <w:bottom w:val="none" w:sz="0" w:space="0" w:color="auto"/>
        <w:right w:val="none" w:sz="0" w:space="0" w:color="auto"/>
      </w:divBdr>
      <w:divsChild>
        <w:div w:id="387850039">
          <w:marLeft w:val="1642"/>
          <w:marRight w:val="0"/>
          <w:marTop w:val="67"/>
          <w:marBottom w:val="0"/>
          <w:divBdr>
            <w:top w:val="none" w:sz="0" w:space="0" w:color="auto"/>
            <w:left w:val="none" w:sz="0" w:space="0" w:color="auto"/>
            <w:bottom w:val="none" w:sz="0" w:space="0" w:color="auto"/>
            <w:right w:val="none" w:sz="0" w:space="0" w:color="auto"/>
          </w:divBdr>
        </w:div>
        <w:div w:id="555629863">
          <w:marLeft w:val="1642"/>
          <w:marRight w:val="0"/>
          <w:marTop w:val="67"/>
          <w:marBottom w:val="0"/>
          <w:divBdr>
            <w:top w:val="none" w:sz="0" w:space="0" w:color="auto"/>
            <w:left w:val="none" w:sz="0" w:space="0" w:color="auto"/>
            <w:bottom w:val="none" w:sz="0" w:space="0" w:color="auto"/>
            <w:right w:val="none" w:sz="0" w:space="0" w:color="auto"/>
          </w:divBdr>
        </w:div>
        <w:div w:id="726419897">
          <w:marLeft w:val="1642"/>
          <w:marRight w:val="0"/>
          <w:marTop w:val="67"/>
          <w:marBottom w:val="0"/>
          <w:divBdr>
            <w:top w:val="none" w:sz="0" w:space="0" w:color="auto"/>
            <w:left w:val="none" w:sz="0" w:space="0" w:color="auto"/>
            <w:bottom w:val="none" w:sz="0" w:space="0" w:color="auto"/>
            <w:right w:val="none" w:sz="0" w:space="0" w:color="auto"/>
          </w:divBdr>
        </w:div>
        <w:div w:id="814643139">
          <w:marLeft w:val="1642"/>
          <w:marRight w:val="0"/>
          <w:marTop w:val="67"/>
          <w:marBottom w:val="0"/>
          <w:divBdr>
            <w:top w:val="none" w:sz="0" w:space="0" w:color="auto"/>
            <w:left w:val="none" w:sz="0" w:space="0" w:color="auto"/>
            <w:bottom w:val="none" w:sz="0" w:space="0" w:color="auto"/>
            <w:right w:val="none" w:sz="0" w:space="0" w:color="auto"/>
          </w:divBdr>
        </w:div>
        <w:div w:id="1014456266">
          <w:marLeft w:val="1642"/>
          <w:marRight w:val="0"/>
          <w:marTop w:val="67"/>
          <w:marBottom w:val="0"/>
          <w:divBdr>
            <w:top w:val="none" w:sz="0" w:space="0" w:color="auto"/>
            <w:left w:val="none" w:sz="0" w:space="0" w:color="auto"/>
            <w:bottom w:val="none" w:sz="0" w:space="0" w:color="auto"/>
            <w:right w:val="none" w:sz="0" w:space="0" w:color="auto"/>
          </w:divBdr>
        </w:div>
        <w:div w:id="1342587153">
          <w:marLeft w:val="1642"/>
          <w:marRight w:val="0"/>
          <w:marTop w:val="67"/>
          <w:marBottom w:val="0"/>
          <w:divBdr>
            <w:top w:val="none" w:sz="0" w:space="0" w:color="auto"/>
            <w:left w:val="none" w:sz="0" w:space="0" w:color="auto"/>
            <w:bottom w:val="none" w:sz="0" w:space="0" w:color="auto"/>
            <w:right w:val="none" w:sz="0" w:space="0" w:color="auto"/>
          </w:divBdr>
        </w:div>
        <w:div w:id="1412309236">
          <w:marLeft w:val="1642"/>
          <w:marRight w:val="0"/>
          <w:marTop w:val="67"/>
          <w:marBottom w:val="0"/>
          <w:divBdr>
            <w:top w:val="none" w:sz="0" w:space="0" w:color="auto"/>
            <w:left w:val="none" w:sz="0" w:space="0" w:color="auto"/>
            <w:bottom w:val="none" w:sz="0" w:space="0" w:color="auto"/>
            <w:right w:val="none" w:sz="0" w:space="0" w:color="auto"/>
          </w:divBdr>
        </w:div>
        <w:div w:id="1481573734">
          <w:marLeft w:val="1642"/>
          <w:marRight w:val="0"/>
          <w:marTop w:val="67"/>
          <w:marBottom w:val="0"/>
          <w:divBdr>
            <w:top w:val="none" w:sz="0" w:space="0" w:color="auto"/>
            <w:left w:val="none" w:sz="0" w:space="0" w:color="auto"/>
            <w:bottom w:val="none" w:sz="0" w:space="0" w:color="auto"/>
            <w:right w:val="none" w:sz="0" w:space="0" w:color="auto"/>
          </w:divBdr>
        </w:div>
        <w:div w:id="1671324988">
          <w:marLeft w:val="1642"/>
          <w:marRight w:val="0"/>
          <w:marTop w:val="67"/>
          <w:marBottom w:val="0"/>
          <w:divBdr>
            <w:top w:val="none" w:sz="0" w:space="0" w:color="auto"/>
            <w:left w:val="none" w:sz="0" w:space="0" w:color="auto"/>
            <w:bottom w:val="none" w:sz="0" w:space="0" w:color="auto"/>
            <w:right w:val="none" w:sz="0" w:space="0" w:color="auto"/>
          </w:divBdr>
        </w:div>
        <w:div w:id="1760250455">
          <w:marLeft w:val="763"/>
          <w:marRight w:val="0"/>
          <w:marTop w:val="101"/>
          <w:marBottom w:val="0"/>
          <w:divBdr>
            <w:top w:val="none" w:sz="0" w:space="0" w:color="auto"/>
            <w:left w:val="none" w:sz="0" w:space="0" w:color="auto"/>
            <w:bottom w:val="none" w:sz="0" w:space="0" w:color="auto"/>
            <w:right w:val="none" w:sz="0" w:space="0" w:color="auto"/>
          </w:divBdr>
        </w:div>
        <w:div w:id="1960990771">
          <w:marLeft w:val="1642"/>
          <w:marRight w:val="0"/>
          <w:marTop w:val="67"/>
          <w:marBottom w:val="0"/>
          <w:divBdr>
            <w:top w:val="none" w:sz="0" w:space="0" w:color="auto"/>
            <w:left w:val="none" w:sz="0" w:space="0" w:color="auto"/>
            <w:bottom w:val="none" w:sz="0" w:space="0" w:color="auto"/>
            <w:right w:val="none" w:sz="0" w:space="0" w:color="auto"/>
          </w:divBdr>
        </w:div>
        <w:div w:id="2095470982">
          <w:marLeft w:val="1642"/>
          <w:marRight w:val="0"/>
          <w:marTop w:val="67"/>
          <w:marBottom w:val="0"/>
          <w:divBdr>
            <w:top w:val="none" w:sz="0" w:space="0" w:color="auto"/>
            <w:left w:val="none" w:sz="0" w:space="0" w:color="auto"/>
            <w:bottom w:val="none" w:sz="0" w:space="0" w:color="auto"/>
            <w:right w:val="none" w:sz="0" w:space="0" w:color="auto"/>
          </w:divBdr>
        </w:div>
      </w:divsChild>
    </w:div>
    <w:div w:id="1226525761">
      <w:bodyDiv w:val="1"/>
      <w:marLeft w:val="0"/>
      <w:marRight w:val="0"/>
      <w:marTop w:val="0"/>
      <w:marBottom w:val="0"/>
      <w:divBdr>
        <w:top w:val="none" w:sz="0" w:space="0" w:color="auto"/>
        <w:left w:val="none" w:sz="0" w:space="0" w:color="auto"/>
        <w:bottom w:val="none" w:sz="0" w:space="0" w:color="auto"/>
        <w:right w:val="none" w:sz="0" w:space="0" w:color="auto"/>
      </w:divBdr>
    </w:div>
    <w:div w:id="14157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lobbes@chu-clermontferrand.fr" TargetMode="External"/><Relationship Id="rId18" Type="http://schemas.openxmlformats.org/officeDocument/2006/relationships/hyperlink" Target="mailto:BeyneRauzy.Odile@iuct-oncopol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ruivard@chu-clermontferrand.fr" TargetMode="External"/><Relationship Id="rId17" Type="http://schemas.openxmlformats.org/officeDocument/2006/relationships/hyperlink" Target="mailto:Comont.Thibault@iuct-oncopole.fr" TargetMode="External"/><Relationship Id="rId2" Type="http://schemas.openxmlformats.org/officeDocument/2006/relationships/numbering" Target="numbering.xml"/><Relationship Id="rId16" Type="http://schemas.openxmlformats.org/officeDocument/2006/relationships/hyperlink" Target="mailto:a-maria@chu-montpellier.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ivier.lambotte@aphp.fr" TargetMode="External"/><Relationship Id="rId5" Type="http://schemas.openxmlformats.org/officeDocument/2006/relationships/settings" Target="settings.xml"/><Relationship Id="rId15" Type="http://schemas.openxmlformats.org/officeDocument/2006/relationships/hyperlink" Target="mailto:ebbo@ciml.univ-mrs.fr" TargetMode="External"/><Relationship Id="rId10" Type="http://schemas.openxmlformats.org/officeDocument/2006/relationships/hyperlink" Target="mailto:St&#233;phane.champiat@gustaveroussy.f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an-marie.michot@gustaveroussy.fr" TargetMode="External"/><Relationship Id="rId14" Type="http://schemas.openxmlformats.org/officeDocument/2006/relationships/hyperlink" Target="mailto:f.ackermann@hopital-foch.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024C-99DE-43AA-A29F-1E22170B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9301</Words>
  <Characters>51159</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Protocole :</vt:lpstr>
    </vt:vector>
  </TitlesOfParts>
  <Company>Institut Gustave Roussy</Company>
  <LinksUpToDate>false</LinksUpToDate>
  <CharactersWithSpaces>60340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c:title>
  <dc:creator>Jean-Marie Michot</dc:creator>
  <cp:lastModifiedBy>Utilisateur</cp:lastModifiedBy>
  <cp:revision>2</cp:revision>
  <cp:lastPrinted>2016-03-09T17:05:00Z</cp:lastPrinted>
  <dcterms:created xsi:type="dcterms:W3CDTF">2018-10-04T09:22:00Z</dcterms:created>
  <dcterms:modified xsi:type="dcterms:W3CDTF">2018-10-04T09:22:00Z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id="n0dyljp3"/&gt;&lt;style id="http://www.zotero.org/styles/annals-of-oncology"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