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508B7" w14:textId="77777777" w:rsidR="00A03999" w:rsidRPr="00902742" w:rsidRDefault="00A03999" w:rsidP="00A03999">
      <w:pPr>
        <w:pStyle w:val="Pardfaut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</w:pPr>
      <w:bookmarkStart w:id="0" w:name="_GoBack"/>
      <w:bookmarkEnd w:id="0"/>
      <w:r w:rsidRPr="00902742">
        <w:rPr>
          <w:rFonts w:ascii="Times New Roman" w:hAnsi="Times New Roman" w:cs="Times New Roman"/>
          <w:sz w:val="24"/>
          <w:szCs w:val="24"/>
          <w:shd w:val="clear" w:color="auto" w:fill="FEFFFE"/>
        </w:rPr>
        <w:t>Nouvelle étude interactive du CRI</w:t>
      </w:r>
    </w:p>
    <w:p w14:paraId="315C57D5" w14:textId="77777777" w:rsidR="00A03999" w:rsidRPr="00902742" w:rsidRDefault="00A03999" w:rsidP="00A03999">
      <w:pPr>
        <w:pStyle w:val="Pardfaut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</w:pPr>
    </w:p>
    <w:p w14:paraId="3EA249E4" w14:textId="74ECE17A" w:rsidR="00A03999" w:rsidRPr="0007625B" w:rsidRDefault="00A03999" w:rsidP="00A03999">
      <w:pPr>
        <w:pStyle w:val="Pardfaut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EFFFE"/>
        </w:rPr>
      </w:pPr>
      <w:proofErr w:type="spellStart"/>
      <w:r w:rsidRPr="00902742">
        <w:rPr>
          <w:rFonts w:ascii="Times New Roman" w:hAnsi="Times New Roman" w:cs="Times New Roman"/>
          <w:b/>
          <w:bCs/>
          <w:sz w:val="24"/>
          <w:szCs w:val="24"/>
          <w:shd w:val="clear" w:color="auto" w:fill="FEFFFE"/>
          <w:lang w:val="es-ES_tradnl"/>
        </w:rPr>
        <w:t>Enqu</w:t>
      </w:r>
      <w:r w:rsidRPr="00902742">
        <w:rPr>
          <w:rFonts w:ascii="Times New Roman" w:hAnsi="Times New Roman" w:cs="Times New Roman"/>
          <w:b/>
          <w:bCs/>
          <w:sz w:val="24"/>
          <w:szCs w:val="24"/>
          <w:shd w:val="clear" w:color="auto" w:fill="FEFFFE"/>
        </w:rPr>
        <w:t>ête</w:t>
      </w:r>
      <w:proofErr w:type="spellEnd"/>
      <w:r w:rsidRPr="00902742">
        <w:rPr>
          <w:rFonts w:ascii="Times New Roman" w:hAnsi="Times New Roman" w:cs="Times New Roman"/>
          <w:b/>
          <w:bCs/>
          <w:sz w:val="24"/>
          <w:szCs w:val="24"/>
          <w:shd w:val="clear" w:color="auto" w:fill="FEFFFE"/>
        </w:rPr>
        <w:t xml:space="preserve"> nationale sur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EFFFE"/>
        </w:rPr>
        <w:t>les atteintes cardi</w:t>
      </w:r>
      <w:r w:rsidR="00EE7E4E">
        <w:rPr>
          <w:rFonts w:ascii="Times New Roman" w:hAnsi="Times New Roman" w:cs="Times New Roman"/>
          <w:b/>
          <w:bCs/>
          <w:sz w:val="24"/>
          <w:szCs w:val="24"/>
          <w:shd w:val="clear" w:color="auto" w:fill="FEFFFE"/>
        </w:rPr>
        <w:t>aques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EFFFE"/>
        </w:rPr>
        <w:t xml:space="preserve"> inflammatoires des</w:t>
      </w:r>
      <w:r w:rsidRPr="00902742">
        <w:rPr>
          <w:rFonts w:ascii="Times New Roman" w:hAnsi="Times New Roman" w:cs="Times New Roman"/>
          <w:b/>
          <w:bCs/>
          <w:sz w:val="24"/>
          <w:szCs w:val="24"/>
          <w:shd w:val="clear" w:color="auto" w:fill="FEFFFE"/>
        </w:rPr>
        <w:t xml:space="preserve"> </w:t>
      </w:r>
      <w:proofErr w:type="spellStart"/>
      <w:r w:rsidRPr="00902742">
        <w:rPr>
          <w:rFonts w:ascii="Times New Roman" w:hAnsi="Times New Roman" w:cs="Times New Roman"/>
          <w:b/>
          <w:bCs/>
          <w:sz w:val="24"/>
          <w:szCs w:val="24"/>
          <w:shd w:val="clear" w:color="auto" w:fill="FEFFFE"/>
        </w:rPr>
        <w:t>spondyloa</w:t>
      </w:r>
      <w:r w:rsidRPr="0007625B">
        <w:rPr>
          <w:rFonts w:ascii="Times New Roman" w:hAnsi="Times New Roman" w:cs="Times New Roman"/>
          <w:b/>
          <w:bCs/>
          <w:sz w:val="24"/>
          <w:szCs w:val="24"/>
          <w:shd w:val="clear" w:color="auto" w:fill="FEFFFE"/>
        </w:rPr>
        <w:t>rthrites</w:t>
      </w:r>
      <w:proofErr w:type="spellEnd"/>
      <w:r w:rsidRPr="0007625B">
        <w:rPr>
          <w:rFonts w:ascii="Times New Roman" w:hAnsi="Times New Roman" w:cs="Times New Roman"/>
          <w:b/>
          <w:bCs/>
          <w:sz w:val="24"/>
          <w:szCs w:val="24"/>
          <w:shd w:val="clear" w:color="auto" w:fill="FEFFFE"/>
        </w:rPr>
        <w:t xml:space="preserve"> (péricardite, myocardite)</w:t>
      </w:r>
    </w:p>
    <w:p w14:paraId="72F97C8D" w14:textId="77777777" w:rsidR="00A03999" w:rsidRPr="00902742" w:rsidRDefault="00A03999" w:rsidP="00A03999">
      <w:pPr>
        <w:pStyle w:val="Pardfaut"/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</w:pPr>
    </w:p>
    <w:p w14:paraId="682C2D6C" w14:textId="77777777" w:rsidR="00A03999" w:rsidRPr="00902742" w:rsidRDefault="00A03999" w:rsidP="00A03999">
      <w:pPr>
        <w:pStyle w:val="Pardfaut"/>
        <w:rPr>
          <w:rFonts w:ascii="Times New Roman" w:hAnsi="Times New Roman" w:cs="Times New Roman"/>
          <w:sz w:val="24"/>
          <w:szCs w:val="24"/>
          <w:shd w:val="clear" w:color="auto" w:fill="FEFFFE"/>
        </w:rPr>
      </w:pPr>
      <w:r w:rsidRPr="00902742">
        <w:rPr>
          <w:rFonts w:ascii="Times New Roman" w:hAnsi="Times New Roman" w:cs="Times New Roman"/>
          <w:sz w:val="24"/>
          <w:szCs w:val="24"/>
          <w:shd w:val="clear" w:color="auto" w:fill="FEFFFE"/>
          <w:lang w:val="de-DE"/>
        </w:rPr>
        <w:t>Juliette Tennenbaum</w:t>
      </w:r>
      <w:r w:rsidRPr="00902742">
        <w:rPr>
          <w:rFonts w:ascii="Times New Roman" w:hAnsi="Times New Roman" w:cs="Times New Roman"/>
          <w:sz w:val="24"/>
          <w:szCs w:val="24"/>
          <w:shd w:val="clear" w:color="auto" w:fill="FEFFFE"/>
        </w:rPr>
        <w:t> </w:t>
      </w:r>
    </w:p>
    <w:p w14:paraId="01D78059" w14:textId="77777777" w:rsidR="00A03999" w:rsidRPr="00902742" w:rsidRDefault="00A03999" w:rsidP="00A03999">
      <w:pPr>
        <w:pStyle w:val="Pardfaut"/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</w:pPr>
      <w:r w:rsidRPr="00902742">
        <w:rPr>
          <w:rFonts w:ascii="Times New Roman" w:hAnsi="Times New Roman" w:cs="Times New Roman"/>
          <w:sz w:val="24"/>
          <w:szCs w:val="24"/>
          <w:shd w:val="clear" w:color="auto" w:fill="FEFFFE"/>
        </w:rPr>
        <w:t>Dr Mekinian Arsène</w:t>
      </w:r>
    </w:p>
    <w:p w14:paraId="43639054" w14:textId="01867614" w:rsidR="00A03999" w:rsidRPr="00902742" w:rsidRDefault="00DF15E7" w:rsidP="00A03999">
      <w:pPr>
        <w:pStyle w:val="Pardfaut"/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  <w:t>Pr Fain Olivier</w:t>
      </w:r>
    </w:p>
    <w:p w14:paraId="5DA4B09F" w14:textId="2EEC8DFC" w:rsidR="00A03999" w:rsidRPr="00902742" w:rsidRDefault="00A03999" w:rsidP="00A03999">
      <w:pPr>
        <w:pStyle w:val="Pardfaut"/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</w:pPr>
      <w:r w:rsidRPr="00902742">
        <w:rPr>
          <w:rFonts w:ascii="Times New Roman" w:hAnsi="Times New Roman" w:cs="Times New Roman"/>
          <w:sz w:val="24"/>
          <w:szCs w:val="24"/>
          <w:shd w:val="clear" w:color="auto" w:fill="FEFFFE"/>
          <w:lang w:val="de-DE"/>
        </w:rPr>
        <w:t xml:space="preserve">Service de </w:t>
      </w:r>
      <w:proofErr w:type="spellStart"/>
      <w:r w:rsidRPr="00902742">
        <w:rPr>
          <w:rFonts w:ascii="Times New Roman" w:hAnsi="Times New Roman" w:cs="Times New Roman"/>
          <w:sz w:val="24"/>
          <w:szCs w:val="24"/>
          <w:shd w:val="clear" w:color="auto" w:fill="FEFFFE"/>
          <w:lang w:val="de-DE"/>
        </w:rPr>
        <w:t>médecine</w:t>
      </w:r>
      <w:proofErr w:type="spellEnd"/>
      <w:r w:rsidRPr="00902742">
        <w:rPr>
          <w:rFonts w:ascii="Times New Roman" w:hAnsi="Times New Roman" w:cs="Times New Roman"/>
          <w:sz w:val="24"/>
          <w:szCs w:val="24"/>
          <w:shd w:val="clear" w:color="auto" w:fill="FEFFFE"/>
          <w:lang w:val="de-DE"/>
        </w:rPr>
        <w:t xml:space="preserve"> interne, H</w:t>
      </w:r>
      <w:r w:rsidR="00DF15E7">
        <w:rPr>
          <w:rFonts w:ascii="Times New Roman" w:hAnsi="Times New Roman" w:cs="Times New Roman"/>
          <w:sz w:val="24"/>
          <w:szCs w:val="24"/>
          <w:shd w:val="clear" w:color="auto" w:fill="FEFFFE"/>
          <w:lang w:val="de-DE"/>
        </w:rPr>
        <w:t>ô</w:t>
      </w:r>
      <w:r w:rsidRPr="00902742">
        <w:rPr>
          <w:rFonts w:ascii="Times New Roman" w:hAnsi="Times New Roman" w:cs="Times New Roman"/>
          <w:sz w:val="24"/>
          <w:szCs w:val="24"/>
          <w:shd w:val="clear" w:color="auto" w:fill="FEFFFE"/>
          <w:lang w:val="de-DE"/>
        </w:rPr>
        <w:t>pital Saint Antoine, Sorbonne Université</w:t>
      </w:r>
    </w:p>
    <w:p w14:paraId="1218A6E5" w14:textId="77777777" w:rsidR="00A03999" w:rsidRPr="00902742" w:rsidRDefault="00A03999" w:rsidP="00A03999">
      <w:pPr>
        <w:pStyle w:val="Pardfaut"/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</w:pPr>
    </w:p>
    <w:p w14:paraId="56C75E94" w14:textId="77777777" w:rsidR="00A03999" w:rsidRDefault="00A03999" w:rsidP="00A03999">
      <w:pPr>
        <w:pStyle w:val="Pardfaut"/>
        <w:rPr>
          <w:rFonts w:ascii="Times New Roman" w:hAnsi="Times New Roman" w:cs="Times New Roman"/>
          <w:sz w:val="24"/>
          <w:szCs w:val="24"/>
          <w:shd w:val="clear" w:color="auto" w:fill="FEFFFE"/>
        </w:rPr>
      </w:pPr>
    </w:p>
    <w:p w14:paraId="3984473B" w14:textId="77777777" w:rsidR="00A03999" w:rsidRPr="00902742" w:rsidRDefault="00A03999" w:rsidP="00A03999">
      <w:pPr>
        <w:pStyle w:val="Pardfau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FFE"/>
        </w:rPr>
      </w:pPr>
      <w:r w:rsidRPr="00902742">
        <w:rPr>
          <w:rFonts w:ascii="Times New Roman" w:hAnsi="Times New Roman" w:cs="Times New Roman"/>
          <w:b/>
          <w:bCs/>
          <w:sz w:val="24"/>
          <w:szCs w:val="24"/>
          <w:shd w:val="clear" w:color="auto" w:fill="FEFFFE"/>
        </w:rPr>
        <w:t>Rationnel de l’étude :</w:t>
      </w:r>
    </w:p>
    <w:p w14:paraId="22AD78C1" w14:textId="77777777" w:rsidR="00A03999" w:rsidRPr="00902742" w:rsidRDefault="00A03999" w:rsidP="00A03999">
      <w:pPr>
        <w:pStyle w:val="Pardfaut"/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</w:pPr>
    </w:p>
    <w:p w14:paraId="73FE412D" w14:textId="77777777" w:rsidR="00A03999" w:rsidRPr="00902742" w:rsidRDefault="00A03999" w:rsidP="00A03999">
      <w:pPr>
        <w:pStyle w:val="Pardfaut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EFFFE"/>
        </w:rPr>
      </w:pPr>
      <w:r w:rsidRPr="00902742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Les </w:t>
      </w:r>
      <w:proofErr w:type="spellStart"/>
      <w:r w:rsidRPr="00902742">
        <w:rPr>
          <w:rFonts w:ascii="Times New Roman" w:hAnsi="Times New Roman" w:cs="Times New Roman"/>
          <w:sz w:val="24"/>
          <w:szCs w:val="24"/>
          <w:shd w:val="clear" w:color="auto" w:fill="FEFFFE"/>
        </w:rPr>
        <w:t>spondyloarthrites</w:t>
      </w:r>
      <w:proofErr w:type="spellEnd"/>
      <w:r w:rsidRPr="00902742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 regroupent </w:t>
      </w:r>
      <w:r w:rsidRPr="00902742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 xml:space="preserve">la spondylarthrite ankylosante, le rhumatisme psoriasique, les arthrites réactionnelles, les arthrites associées aux </w:t>
      </w:r>
      <w:proofErr w:type="spellStart"/>
      <w:r w:rsidRPr="00902742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>entérocolopathies</w:t>
      </w:r>
      <w:proofErr w:type="spellEnd"/>
      <w:r w:rsidRPr="00902742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 xml:space="preserve"> inflammatoires et les </w:t>
      </w:r>
      <w:proofErr w:type="spellStart"/>
      <w:r w:rsidRPr="00902742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>spondyloarthrites</w:t>
      </w:r>
      <w:proofErr w:type="spellEnd"/>
      <w:r w:rsidRPr="0007625B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 xml:space="preserve"> </w:t>
      </w:r>
      <w:proofErr w:type="spellStart"/>
      <w:r w:rsidRPr="0007625B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>indiff</w:t>
      </w:r>
      <w:r w:rsidRPr="00902742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>é</w:t>
      </w:r>
      <w:r w:rsidRPr="00902742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  <w:lang w:val="es-ES_tradnl"/>
        </w:rPr>
        <w:t>renci</w:t>
      </w:r>
      <w:proofErr w:type="spellEnd"/>
      <w:r w:rsidRPr="00902742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>é</w:t>
      </w:r>
      <w:r w:rsidRPr="00902742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  <w:lang w:val="pt-PT"/>
        </w:rPr>
        <w:t>es.</w:t>
      </w:r>
    </w:p>
    <w:p w14:paraId="27569F97" w14:textId="2AE97BCB" w:rsidR="00A03999" w:rsidRPr="00902742" w:rsidRDefault="00A03999" w:rsidP="00A03999">
      <w:pPr>
        <w:pStyle w:val="Pardfaut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EFFFE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>Certaines des manifestations extra-articulaires sont bien connues, avec la prévalence des uvéites estimée</w:t>
      </w:r>
      <w:r w:rsidRPr="00902742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 xml:space="preserve"> à 25% contre 0,2 à 1% en population générale (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>selon le statut</w:t>
      </w:r>
      <w:r w:rsidRPr="00902742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 xml:space="preserve"> HLA B27) ;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 xml:space="preserve">du </w:t>
      </w:r>
      <w:r w:rsidRPr="00902742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>psoriasis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 xml:space="preserve"> à</w:t>
      </w:r>
      <w:r w:rsidRPr="00902742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 xml:space="preserve"> 9,3 % contre 0,3 à 2,5% et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 xml:space="preserve">des </w:t>
      </w:r>
      <w:r w:rsidRPr="00902742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 xml:space="preserve">manifestations digestives </w:t>
      </w:r>
      <w:r w:rsidR="001F6F4A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 xml:space="preserve">à </w:t>
      </w:r>
      <w:r w:rsidRPr="00902742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>6,8% contre 0,01 à 0,5% [1]. Leur présence en association aux manifestations articulaires a des conséquences en termes de choix des thérapeutiques systémiques (notamment le recours précoce aux ant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>agonistes de</w:t>
      </w:r>
      <w:r w:rsidRPr="00902742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 xml:space="preserve"> TNF alpha) [2].</w:t>
      </w:r>
    </w:p>
    <w:p w14:paraId="2E98D4DC" w14:textId="17B0A1DD" w:rsidR="00A03999" w:rsidRPr="00902742" w:rsidRDefault="00A03999" w:rsidP="00A03999">
      <w:pPr>
        <w:pStyle w:val="Pardfaut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EFFFE"/>
        </w:rPr>
      </w:pPr>
      <w:r w:rsidRPr="00902742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>Les atteintes cardiaques sont historiquement décrites, avec peu d’études de prévalence bien menées. Leur fréquence globale dans la spondylarthrite ankylosante est estimée entre 2-10%</w:t>
      </w:r>
      <w:r w:rsidR="001F6F4A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 xml:space="preserve">. Les </w:t>
      </w:r>
      <w:r w:rsidRPr="00902742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>troubles de conduction intracardiaques et les valvulopathies aortiques de type insuffisance aortique</w:t>
      </w:r>
      <w:r w:rsidR="001F6F4A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 xml:space="preserve"> sont les plus rapportés</w:t>
      </w:r>
      <w:r w:rsidRPr="00902742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 xml:space="preserve"> [3, 4, 5]. Les atteintes valvulaires peuvent </w:t>
      </w:r>
      <w:r w:rsidR="001F6F4A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>se compliquer d’</w:t>
      </w:r>
      <w:r w:rsidRPr="00902742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 xml:space="preserve">une dysfonction cardiaque principalement diastolique, qui peut également être primitive [6]. Le mécanisme principal décrit, à partir de séries nécrologiques, est la fibrose inflammatoire qui semblerait débuter </w:t>
      </w:r>
      <w:r w:rsidR="001F6F4A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 xml:space="preserve">à la racine de l’aorte et toucher </w:t>
      </w:r>
      <w:r w:rsidRPr="00902742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 xml:space="preserve">les valvules aortiques, pouvant s’étendre au </w:t>
      </w:r>
      <w:r w:rsidR="0007625B" w:rsidRPr="00902742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>nœud</w:t>
      </w:r>
      <w:r w:rsidRPr="00902742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 xml:space="preserve"> </w:t>
      </w:r>
      <w:proofErr w:type="spellStart"/>
      <w:r w:rsidRPr="00902742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>atrio</w:t>
      </w:r>
      <w:proofErr w:type="spellEnd"/>
      <w:r w:rsidRPr="00902742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 xml:space="preserve">-ventriculaire [7]. Le facteur de risque principal de survenue des manifestations </w:t>
      </w:r>
      <w:proofErr w:type="spellStart"/>
      <w:r w:rsidRPr="00902742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>sus-citées</w:t>
      </w:r>
      <w:proofErr w:type="spellEnd"/>
      <w:r w:rsidRPr="00902742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 xml:space="preserve"> semble être la durée d’évolutivité de la maladie [8, 9] </w:t>
      </w:r>
    </w:p>
    <w:p w14:paraId="78FABCC8" w14:textId="2DE37820" w:rsidR="00A03999" w:rsidRDefault="00821978" w:rsidP="00A03999">
      <w:pPr>
        <w:pStyle w:val="Pardfaut"/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>L</w:t>
      </w:r>
      <w:r w:rsidR="0024336F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 xml:space="preserve">es </w:t>
      </w:r>
      <w:proofErr w:type="spellStart"/>
      <w:r w:rsidR="0024336F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>myopéricardites</w:t>
      </w:r>
      <w:proofErr w:type="spellEnd"/>
      <w:r w:rsidR="0024336F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 xml:space="preserve"> ont, quant à elles, </w:t>
      </w:r>
      <w:r w:rsidR="00A03999" w:rsidRPr="00902742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 xml:space="preserve">été peu rapportées en association aux </w:t>
      </w:r>
      <w:proofErr w:type="spellStart"/>
      <w:r w:rsidR="00A03999" w:rsidRPr="00902742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>spondyloarthrites</w:t>
      </w:r>
      <w:proofErr w:type="spellEnd"/>
      <w:r w:rsidR="00A03999" w:rsidRPr="00902742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 xml:space="preserve">, contrairement à la polyarthrite rhumatoïde. Dans la série historique de Wilkinson de 1958, sur 220 patients porteurs de spondylarthrite ankylosante, seules 2 péricardites ont été </w:t>
      </w:r>
      <w:r w:rsidR="0024336F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>retrouvées</w:t>
      </w:r>
      <w:r w:rsidR="00A03999" w:rsidRPr="00902742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 xml:space="preserve"> [1</w:t>
      </w:r>
      <w:r w:rsidR="00CD1EC4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>4</w:t>
      </w:r>
      <w:r w:rsidR="00A03999" w:rsidRPr="00902742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 xml:space="preserve">]. </w:t>
      </w:r>
      <w:proofErr w:type="spellStart"/>
      <w:r w:rsidR="00A03999" w:rsidRPr="00902742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>Espositio</w:t>
      </w:r>
      <w:proofErr w:type="spellEnd"/>
      <w:r w:rsidR="00A03999" w:rsidRPr="00902742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 xml:space="preserve"> et al. </w:t>
      </w:r>
      <w:proofErr w:type="gramStart"/>
      <w:r w:rsidR="00A03999" w:rsidRPr="00902742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>rapportent</w:t>
      </w:r>
      <w:proofErr w:type="gramEnd"/>
      <w:r w:rsidR="00A03999" w:rsidRPr="00902742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 xml:space="preserve"> un cas de péricardite récidivante considérée idiopathique, dans un contexte de rhumatisme psoriasique évoluant depuis une dizaine d’années, d’évolution favorable sous ant</w:t>
      </w:r>
      <w:r w:rsidR="00A03999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>agonistes de</w:t>
      </w:r>
      <w:r w:rsidR="00944D61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 xml:space="preserve"> TNF alpha [1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>5</w:t>
      </w:r>
      <w:r w:rsidR="0024336F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 xml:space="preserve">]. </w:t>
      </w:r>
      <w:proofErr w:type="spellStart"/>
      <w:r w:rsidR="0024336F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>Mitoff</w:t>
      </w:r>
      <w:proofErr w:type="spellEnd"/>
      <w:r w:rsidR="0024336F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 xml:space="preserve"> and al. </w:t>
      </w:r>
      <w:proofErr w:type="gramStart"/>
      <w:r w:rsidR="0024336F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>ont</w:t>
      </w:r>
      <w:proofErr w:type="gramEnd"/>
      <w:r w:rsidR="0024336F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 xml:space="preserve"> décrit</w:t>
      </w:r>
      <w:r w:rsidR="00A03999" w:rsidRPr="00902742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 xml:space="preserve"> un cas de myocardite à cellules géantes </w:t>
      </w:r>
      <w:r w:rsidR="00E85400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>chez une patiente atteinte</w:t>
      </w:r>
      <w:r w:rsidR="00A03999" w:rsidRPr="00902742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 xml:space="preserve"> de spondylarthrite ankylosante, ayant conduit à la transplantation cardiaque - avec cependant comme facteur confondant une hypersensibilité médicamenteuse [1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>6</w:t>
      </w:r>
      <w:r w:rsidR="00A03999" w:rsidRPr="00902742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>].</w:t>
      </w:r>
      <w:r w:rsidR="00A03999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 xml:space="preserve"> </w:t>
      </w:r>
    </w:p>
    <w:p w14:paraId="7E3AA14F" w14:textId="278D0B58" w:rsidR="0024336F" w:rsidRPr="00EE7E4E" w:rsidRDefault="00292DD2" w:rsidP="00A03999">
      <w:pPr>
        <w:pStyle w:val="Pardfaut"/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>Nous avons récemment observé</w:t>
      </w:r>
      <w:r w:rsidR="00A03999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 xml:space="preserve"> l’eff</w:t>
      </w:r>
      <w:r w:rsidR="0024336F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>icacité des antagonistes de TNF alpha</w:t>
      </w:r>
      <w:r w:rsidR="00A03999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 xml:space="preserve"> chez 2 patients </w:t>
      </w:r>
      <w:r w:rsidR="0024336F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>présentant</w:t>
      </w:r>
      <w:r w:rsidR="00A03999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 xml:space="preserve"> des épisodes de péricardites</w:t>
      </w:r>
      <w:r w:rsidR="0024336F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 xml:space="preserve"> chroniques récidivantes dans un contexte de </w:t>
      </w:r>
      <w:proofErr w:type="spellStart"/>
      <w:r w:rsidR="0024336F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>spondyl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>o</w:t>
      </w:r>
      <w:r w:rsidR="0024336F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>arthrite</w:t>
      </w:r>
      <w:proofErr w:type="spellEnd"/>
      <w:r w:rsidR="0024336F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 xml:space="preserve"> pré existante</w:t>
      </w:r>
      <w:r w:rsidR="00661C39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>, ainsi qu’un cas de myocardite récidivante inexpliquée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>, pour l</w:t>
      </w:r>
      <w:r w:rsidR="00661C39"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 xml:space="preserve">aquelle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EFFFE"/>
        </w:rPr>
        <w:t xml:space="preserve">la question d’un traitement par antagoniste de TNF alpha se pose. </w:t>
      </w:r>
    </w:p>
    <w:p w14:paraId="5D3238B4" w14:textId="2EA4F9B8" w:rsidR="00A03999" w:rsidRDefault="00292DD2" w:rsidP="00A03999">
      <w:pPr>
        <w:pStyle w:val="Pardfaut"/>
        <w:rPr>
          <w:rFonts w:ascii="Times New Roman" w:hAnsi="Times New Roman"/>
          <w:color w:val="212121"/>
          <w:sz w:val="24"/>
          <w:shd w:val="clear" w:color="auto" w:fill="FEFFFE"/>
        </w:rPr>
      </w:pPr>
      <w:r w:rsidRPr="00292DD2">
        <w:rPr>
          <w:rFonts w:ascii="Times New Roman" w:hAnsi="Times New Roman"/>
          <w:color w:val="212121"/>
          <w:sz w:val="24"/>
          <w:shd w:val="clear" w:color="auto" w:fill="FEFFFE"/>
        </w:rPr>
        <w:t>Dans la littérature</w:t>
      </w:r>
      <w:r w:rsidR="00A03999" w:rsidRPr="00292DD2">
        <w:rPr>
          <w:rFonts w:ascii="Times New Roman" w:hAnsi="Times New Roman"/>
          <w:color w:val="212121"/>
          <w:sz w:val="24"/>
          <w:shd w:val="clear" w:color="auto" w:fill="FEFFFE"/>
        </w:rPr>
        <w:t>, plusieurs études chez l’animal et in vitro ont montré que l’expression du TNF dans les cardiomyocytes était impliquée dans la pathogénie de la myocardite et de la dysfonction cardiaque [1</w:t>
      </w:r>
      <w:r w:rsidR="002667F3">
        <w:rPr>
          <w:rFonts w:ascii="Times New Roman" w:hAnsi="Times New Roman"/>
          <w:color w:val="212121"/>
          <w:sz w:val="24"/>
          <w:shd w:val="clear" w:color="auto" w:fill="FEFFFE"/>
        </w:rPr>
        <w:t>7</w:t>
      </w:r>
      <w:r w:rsidR="00A03999" w:rsidRPr="00292DD2">
        <w:rPr>
          <w:rFonts w:ascii="Times New Roman" w:hAnsi="Times New Roman"/>
          <w:color w:val="212121"/>
          <w:sz w:val="24"/>
          <w:shd w:val="clear" w:color="auto" w:fill="FEFFFE"/>
        </w:rPr>
        <w:t>, 1</w:t>
      </w:r>
      <w:r w:rsidR="002667F3">
        <w:rPr>
          <w:rFonts w:ascii="Times New Roman" w:hAnsi="Times New Roman"/>
          <w:color w:val="212121"/>
          <w:sz w:val="24"/>
          <w:shd w:val="clear" w:color="auto" w:fill="FEFFFE"/>
        </w:rPr>
        <w:t>8</w:t>
      </w:r>
      <w:r w:rsidR="00A03999" w:rsidRPr="00292DD2">
        <w:rPr>
          <w:rFonts w:ascii="Times New Roman" w:hAnsi="Times New Roman"/>
          <w:color w:val="212121"/>
          <w:sz w:val="24"/>
          <w:shd w:val="clear" w:color="auto" w:fill="FEFFFE"/>
        </w:rPr>
        <w:t>]. U</w:t>
      </w:r>
      <w:r w:rsidR="00A03999" w:rsidRPr="00292DD2">
        <w:rPr>
          <w:rFonts w:ascii="Times New Roman" w:hAnsi="Times New Roman" w:cs="Times New Roman"/>
          <w:color w:val="212121"/>
          <w:sz w:val="24"/>
          <w:shd w:val="clear" w:color="auto" w:fill="FEFFFE"/>
        </w:rPr>
        <w:t xml:space="preserve">ne étude récente évalue </w:t>
      </w:r>
      <w:r w:rsidR="00A03999" w:rsidRPr="00292DD2">
        <w:rPr>
          <w:rFonts w:ascii="Times New Roman" w:hAnsi="Times New Roman" w:cs="Times New Roman"/>
          <w:bCs/>
          <w:color w:val="212121"/>
          <w:sz w:val="24"/>
          <w:shd w:val="clear" w:color="auto" w:fill="FEFFFE"/>
        </w:rPr>
        <w:t>l’effet des anti TNF alpha</w:t>
      </w:r>
      <w:r w:rsidR="00A03999" w:rsidRPr="00292DD2">
        <w:rPr>
          <w:rFonts w:ascii="Times New Roman" w:hAnsi="Times New Roman" w:cs="Times New Roman"/>
          <w:b/>
          <w:bCs/>
          <w:color w:val="212121"/>
          <w:sz w:val="24"/>
          <w:shd w:val="clear" w:color="auto" w:fill="FEFFFE"/>
        </w:rPr>
        <w:t xml:space="preserve"> </w:t>
      </w:r>
      <w:r w:rsidR="00A03999" w:rsidRPr="00292DD2">
        <w:rPr>
          <w:rFonts w:ascii="Times New Roman" w:hAnsi="Times New Roman" w:cs="Times New Roman"/>
          <w:color w:val="212121"/>
          <w:sz w:val="24"/>
          <w:shd w:val="clear" w:color="auto" w:fill="FEFFFE"/>
        </w:rPr>
        <w:t xml:space="preserve">sur </w:t>
      </w:r>
      <w:r w:rsidR="00A03999" w:rsidRPr="00292DD2">
        <w:rPr>
          <w:rFonts w:ascii="Times New Roman" w:hAnsi="Times New Roman" w:cs="Times New Roman"/>
          <w:bCs/>
          <w:color w:val="212121"/>
          <w:sz w:val="24"/>
          <w:shd w:val="clear" w:color="auto" w:fill="FEFFFE"/>
        </w:rPr>
        <w:t>l’inflammation myocardique</w:t>
      </w:r>
      <w:r w:rsidR="00A03999" w:rsidRPr="00292DD2">
        <w:rPr>
          <w:rFonts w:ascii="Times New Roman" w:hAnsi="Times New Roman" w:cs="Times New Roman"/>
          <w:b/>
          <w:bCs/>
          <w:color w:val="212121"/>
          <w:sz w:val="24"/>
          <w:shd w:val="clear" w:color="auto" w:fill="FEFFFE"/>
        </w:rPr>
        <w:t xml:space="preserve"> </w:t>
      </w:r>
      <w:r w:rsidR="00A03999" w:rsidRPr="00292DD2">
        <w:rPr>
          <w:rFonts w:ascii="Times New Roman" w:hAnsi="Times New Roman" w:cs="Times New Roman"/>
          <w:color w:val="212121"/>
          <w:sz w:val="24"/>
          <w:shd w:val="clear" w:color="auto" w:fill="FEFFFE"/>
        </w:rPr>
        <w:t xml:space="preserve">par IRM cardiaque chez des sujets atteints de rhumatismes inflammatoires (polyarthrite rhumatoïde, spondylarthrite ankylosante et rhumatisme psoriasique) exempts de cardiopathie clinique ; et </w:t>
      </w:r>
      <w:r>
        <w:rPr>
          <w:rFonts w:ascii="Times New Roman" w:hAnsi="Times New Roman" w:cs="Times New Roman"/>
          <w:color w:val="212121"/>
          <w:sz w:val="24"/>
          <w:shd w:val="clear" w:color="auto" w:fill="FEFFFE"/>
        </w:rPr>
        <w:t>montre</w:t>
      </w:r>
      <w:r w:rsidR="00A03999" w:rsidRPr="00292DD2">
        <w:rPr>
          <w:rFonts w:ascii="Times New Roman" w:hAnsi="Times New Roman" w:cs="Times New Roman"/>
          <w:color w:val="212121"/>
          <w:sz w:val="24"/>
          <w:shd w:val="clear" w:color="auto" w:fill="FEFFFE"/>
        </w:rPr>
        <w:t xml:space="preserve"> </w:t>
      </w:r>
      <w:r w:rsidR="00A03999" w:rsidRPr="00292DD2">
        <w:rPr>
          <w:rFonts w:ascii="Times New Roman" w:hAnsi="Times New Roman"/>
          <w:bCs/>
          <w:color w:val="212121"/>
          <w:sz w:val="24"/>
          <w:shd w:val="clear" w:color="auto" w:fill="FEFFFE"/>
        </w:rPr>
        <w:t>une diminution de l’inflammation myocardique</w:t>
      </w:r>
      <w:r w:rsidR="00A03999" w:rsidRPr="00292DD2">
        <w:rPr>
          <w:rFonts w:ascii="Times New Roman" w:hAnsi="Times New Roman"/>
          <w:color w:val="212121"/>
          <w:sz w:val="24"/>
          <w:shd w:val="clear" w:color="auto" w:fill="FEFFFE"/>
        </w:rPr>
        <w:t>, l’œdème et le rehaussement tardif à 6 mois post anti-TNF à taux significatifs par rapport à des témoins [1</w:t>
      </w:r>
      <w:r w:rsidR="002667F3">
        <w:rPr>
          <w:rFonts w:ascii="Times New Roman" w:hAnsi="Times New Roman"/>
          <w:color w:val="212121"/>
          <w:sz w:val="24"/>
          <w:shd w:val="clear" w:color="auto" w:fill="FEFFFE"/>
        </w:rPr>
        <w:t>9</w:t>
      </w:r>
      <w:r w:rsidR="00A03999" w:rsidRPr="00292DD2">
        <w:rPr>
          <w:rFonts w:ascii="Times New Roman" w:hAnsi="Times New Roman"/>
          <w:color w:val="212121"/>
          <w:sz w:val="24"/>
          <w:shd w:val="clear" w:color="auto" w:fill="FEFFFE"/>
        </w:rPr>
        <w:t>].</w:t>
      </w:r>
    </w:p>
    <w:p w14:paraId="1CDBC8E9" w14:textId="77777777" w:rsidR="00A03999" w:rsidRDefault="00A03999" w:rsidP="00A03999">
      <w:pPr>
        <w:pStyle w:val="Pardfaut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EFFFE"/>
        </w:rPr>
      </w:pPr>
    </w:p>
    <w:p w14:paraId="0A843C45" w14:textId="77777777" w:rsidR="00E85400" w:rsidRDefault="00E85400" w:rsidP="00A03999">
      <w:pPr>
        <w:pStyle w:val="Pardfaut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EFFFE"/>
        </w:rPr>
      </w:pPr>
    </w:p>
    <w:p w14:paraId="0E08D1FA" w14:textId="77777777" w:rsidR="00E85400" w:rsidRPr="00902742" w:rsidRDefault="00E85400" w:rsidP="00A03999">
      <w:pPr>
        <w:pStyle w:val="Pardfaut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EFFFE"/>
        </w:rPr>
      </w:pPr>
    </w:p>
    <w:p w14:paraId="36B74153" w14:textId="77777777" w:rsidR="00A03999" w:rsidRPr="00F408E7" w:rsidRDefault="00A03999" w:rsidP="00A03999">
      <w:pPr>
        <w:pStyle w:val="Pardfau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08E7">
        <w:rPr>
          <w:rFonts w:ascii="Times New Roman" w:hAnsi="Times New Roman" w:cs="Times New Roman"/>
          <w:b/>
          <w:bCs/>
          <w:sz w:val="24"/>
          <w:szCs w:val="24"/>
        </w:rPr>
        <w:lastRenderedPageBreak/>
        <w:t>Objectifs de l’étude :</w:t>
      </w:r>
    </w:p>
    <w:p w14:paraId="21E1D790" w14:textId="148CF4BB" w:rsidR="004C404C" w:rsidRPr="004C404C" w:rsidRDefault="004C404C" w:rsidP="004C404C">
      <w:pPr>
        <w:pStyle w:val="Pardfaut"/>
        <w:rPr>
          <w:rFonts w:ascii="Times New Roman" w:hAnsi="Times New Roman" w:cs="Times New Roman"/>
          <w:sz w:val="24"/>
          <w:szCs w:val="24"/>
        </w:rPr>
      </w:pPr>
      <w:r w:rsidRPr="004C404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999">
        <w:rPr>
          <w:rFonts w:ascii="Times New Roman" w:hAnsi="Times New Roman" w:cs="Times New Roman"/>
          <w:sz w:val="24"/>
          <w:szCs w:val="24"/>
        </w:rPr>
        <w:t>Décrire les atteintes cardi</w:t>
      </w:r>
      <w:r w:rsidR="00EE7E4E">
        <w:rPr>
          <w:rFonts w:ascii="Times New Roman" w:hAnsi="Times New Roman" w:cs="Times New Roman"/>
          <w:sz w:val="24"/>
          <w:szCs w:val="24"/>
        </w:rPr>
        <w:t>aques</w:t>
      </w:r>
      <w:r w:rsidR="00A03999">
        <w:rPr>
          <w:rFonts w:ascii="Times New Roman" w:hAnsi="Times New Roman" w:cs="Times New Roman"/>
          <w:sz w:val="24"/>
          <w:szCs w:val="24"/>
        </w:rPr>
        <w:t xml:space="preserve"> inflammatoires associées aux </w:t>
      </w:r>
      <w:proofErr w:type="spellStart"/>
      <w:r w:rsidR="00A03999">
        <w:rPr>
          <w:rFonts w:ascii="Times New Roman" w:hAnsi="Times New Roman" w:cs="Times New Roman"/>
          <w:sz w:val="24"/>
          <w:szCs w:val="24"/>
        </w:rPr>
        <w:t>spondyl</w:t>
      </w:r>
      <w:r w:rsidR="002667F3">
        <w:rPr>
          <w:rFonts w:ascii="Times New Roman" w:hAnsi="Times New Roman" w:cs="Times New Roman"/>
          <w:sz w:val="24"/>
          <w:szCs w:val="24"/>
        </w:rPr>
        <w:t>o</w:t>
      </w:r>
      <w:r w:rsidR="00A03999">
        <w:rPr>
          <w:rFonts w:ascii="Times New Roman" w:hAnsi="Times New Roman" w:cs="Times New Roman"/>
          <w:sz w:val="24"/>
          <w:szCs w:val="24"/>
        </w:rPr>
        <w:t>arthites</w:t>
      </w:r>
      <w:proofErr w:type="spellEnd"/>
      <w:r w:rsidR="00A03999">
        <w:rPr>
          <w:rFonts w:ascii="Times New Roman" w:hAnsi="Times New Roman" w:cs="Times New Roman"/>
          <w:sz w:val="24"/>
          <w:szCs w:val="24"/>
        </w:rPr>
        <w:t xml:space="preserve"> et les caractéristiques associées à cette atteinte (en comparaison </w:t>
      </w:r>
      <w:r w:rsidR="002667F3">
        <w:rPr>
          <w:rFonts w:ascii="Times New Roman" w:hAnsi="Times New Roman" w:cs="Times New Roman"/>
          <w:sz w:val="24"/>
          <w:szCs w:val="24"/>
        </w:rPr>
        <w:t xml:space="preserve">avec un </w:t>
      </w:r>
      <w:r w:rsidR="00A03999">
        <w:rPr>
          <w:rFonts w:ascii="Times New Roman" w:hAnsi="Times New Roman" w:cs="Times New Roman"/>
          <w:sz w:val="24"/>
          <w:szCs w:val="24"/>
        </w:rPr>
        <w:t xml:space="preserve">groupe contrôle </w:t>
      </w:r>
      <w:r w:rsidR="002667F3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2667F3">
        <w:rPr>
          <w:rFonts w:ascii="Times New Roman" w:hAnsi="Times New Roman" w:cs="Times New Roman"/>
          <w:sz w:val="24"/>
          <w:szCs w:val="24"/>
        </w:rPr>
        <w:t>spondyloarthites</w:t>
      </w:r>
      <w:proofErr w:type="spellEnd"/>
      <w:r w:rsidR="002667F3">
        <w:rPr>
          <w:rFonts w:ascii="Times New Roman" w:hAnsi="Times New Roman" w:cs="Times New Roman"/>
          <w:sz w:val="24"/>
          <w:szCs w:val="24"/>
        </w:rPr>
        <w:t xml:space="preserve"> </w:t>
      </w:r>
      <w:r w:rsidR="00A03999">
        <w:rPr>
          <w:rFonts w:ascii="Times New Roman" w:hAnsi="Times New Roman" w:cs="Times New Roman"/>
          <w:sz w:val="24"/>
          <w:szCs w:val="24"/>
        </w:rPr>
        <w:t>sans atteinte cardiovasculaire)</w:t>
      </w:r>
    </w:p>
    <w:p w14:paraId="75060535" w14:textId="77777777" w:rsidR="00A03999" w:rsidRDefault="00A03999" w:rsidP="00A03999">
      <w:pPr>
        <w:pStyle w:val="Pardfaut"/>
        <w:rPr>
          <w:rFonts w:ascii="Times New Roman" w:hAnsi="Times New Roman" w:cs="Times New Roman"/>
          <w:sz w:val="24"/>
          <w:szCs w:val="24"/>
        </w:rPr>
      </w:pPr>
      <w:r w:rsidRPr="00902742">
        <w:rPr>
          <w:rFonts w:ascii="Times New Roman" w:hAnsi="Times New Roman" w:cs="Times New Roman"/>
          <w:sz w:val="24"/>
          <w:szCs w:val="24"/>
        </w:rPr>
        <w:t xml:space="preserve">- Décrire la </w:t>
      </w:r>
      <w:r>
        <w:rPr>
          <w:rFonts w:ascii="Times New Roman" w:hAnsi="Times New Roman" w:cs="Times New Roman"/>
          <w:sz w:val="24"/>
          <w:szCs w:val="24"/>
        </w:rPr>
        <w:t>prise en charge et en particulier la réponse aux biothérapies</w:t>
      </w:r>
    </w:p>
    <w:p w14:paraId="0302C53C" w14:textId="77777777" w:rsidR="00A03999" w:rsidRPr="00902742" w:rsidRDefault="00A03999" w:rsidP="00A03999">
      <w:pPr>
        <w:pStyle w:val="Pardfaut"/>
        <w:rPr>
          <w:rFonts w:ascii="Times New Roman" w:eastAsia="Times New Roman" w:hAnsi="Times New Roman" w:cs="Times New Roman"/>
          <w:sz w:val="24"/>
          <w:szCs w:val="24"/>
        </w:rPr>
      </w:pPr>
    </w:p>
    <w:p w14:paraId="1C552F65" w14:textId="77777777" w:rsidR="00A03999" w:rsidRPr="00902742" w:rsidRDefault="00A03999" w:rsidP="00A03999">
      <w:pPr>
        <w:pStyle w:val="Pardfaut"/>
        <w:rPr>
          <w:rFonts w:ascii="Times New Roman" w:eastAsia="Times New Roman" w:hAnsi="Times New Roman" w:cs="Times New Roman"/>
          <w:sz w:val="24"/>
          <w:szCs w:val="24"/>
        </w:rPr>
      </w:pPr>
      <w:r w:rsidRPr="00F408E7">
        <w:rPr>
          <w:rFonts w:ascii="Times New Roman" w:hAnsi="Times New Roman" w:cs="Times New Roman"/>
          <w:b/>
          <w:bCs/>
          <w:sz w:val="24"/>
          <w:szCs w:val="24"/>
        </w:rPr>
        <w:t>Critères d’inclusion</w:t>
      </w:r>
      <w:r w:rsidRPr="00902742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0B07E9B3" w14:textId="4232DA8F" w:rsidR="00A03999" w:rsidRPr="00902742" w:rsidRDefault="00A03999" w:rsidP="00A03999">
      <w:pPr>
        <w:pStyle w:val="Pardfaut"/>
        <w:rPr>
          <w:rFonts w:ascii="Times New Roman" w:eastAsia="Times New Roman" w:hAnsi="Times New Roman" w:cs="Times New Roman"/>
          <w:sz w:val="24"/>
          <w:szCs w:val="24"/>
        </w:rPr>
      </w:pPr>
      <w:r w:rsidRPr="00353EF2">
        <w:rPr>
          <w:rFonts w:ascii="Times New Roman" w:hAnsi="Times New Roman" w:cs="Times New Roman"/>
          <w:sz w:val="24"/>
          <w:szCs w:val="24"/>
        </w:rPr>
        <w:t xml:space="preserve">- spondylarthrite ankylosante (critères </w:t>
      </w:r>
      <w:r w:rsidR="00382660" w:rsidRPr="00353EF2">
        <w:rPr>
          <w:rFonts w:ascii="Times New Roman" w:hAnsi="Times New Roman" w:cs="Times New Roman"/>
          <w:sz w:val="24"/>
          <w:szCs w:val="24"/>
        </w:rPr>
        <w:t>ASAS)</w:t>
      </w:r>
      <w:r w:rsidRPr="00353EF2">
        <w:rPr>
          <w:rFonts w:ascii="Times New Roman" w:hAnsi="Times New Roman" w:cs="Times New Roman"/>
          <w:sz w:val="24"/>
          <w:szCs w:val="24"/>
        </w:rPr>
        <w:t xml:space="preserve"> ou rhumatisme psoriasique</w:t>
      </w:r>
      <w:r w:rsidR="00382660" w:rsidRPr="00353EF2">
        <w:rPr>
          <w:rFonts w:ascii="Times New Roman" w:hAnsi="Times New Roman" w:cs="Times New Roman"/>
          <w:sz w:val="24"/>
          <w:szCs w:val="24"/>
        </w:rPr>
        <w:t xml:space="preserve"> (critères CASPAR)</w:t>
      </w:r>
      <w:r w:rsidR="004C404C" w:rsidRPr="00353EF2">
        <w:rPr>
          <w:rFonts w:ascii="Times New Roman" w:hAnsi="Times New Roman" w:cs="Times New Roman"/>
          <w:sz w:val="24"/>
          <w:szCs w:val="24"/>
        </w:rPr>
        <w:t xml:space="preserve"> ou arthrite réactionnelle d’évolution chronique supérieure à 6 mois (critè</w:t>
      </w:r>
      <w:r w:rsidR="000D348C" w:rsidRPr="00353EF2">
        <w:rPr>
          <w:rFonts w:ascii="Times New Roman" w:hAnsi="Times New Roman" w:cs="Times New Roman"/>
          <w:sz w:val="24"/>
          <w:szCs w:val="24"/>
        </w:rPr>
        <w:t xml:space="preserve">res diagnostiques issus de </w:t>
      </w:r>
      <w:r w:rsidR="000D348C" w:rsidRPr="00353EF2">
        <w:rPr>
          <w:rFonts w:ascii="Times New Roman" w:hAnsi="Times New Roman"/>
          <w:color w:val="212121"/>
          <w:sz w:val="24"/>
          <w:shd w:val="clear" w:color="auto" w:fill="FEFFFE"/>
        </w:rPr>
        <w:t>[20]</w:t>
      </w:r>
      <w:r w:rsidR="004C404C" w:rsidRPr="00353EF2">
        <w:rPr>
          <w:rFonts w:ascii="Times New Roman" w:hAnsi="Times New Roman" w:cs="Times New Roman"/>
          <w:sz w:val="24"/>
          <w:szCs w:val="24"/>
        </w:rPr>
        <w:t>).</w:t>
      </w:r>
    </w:p>
    <w:p w14:paraId="2BA3BC2B" w14:textId="5BC9F961" w:rsidR="00A03999" w:rsidRDefault="00A03999" w:rsidP="00A03999">
      <w:pPr>
        <w:pStyle w:val="Pardfaut"/>
        <w:rPr>
          <w:rFonts w:ascii="Times New Roman" w:hAnsi="Times New Roman" w:cs="Times New Roman"/>
          <w:sz w:val="24"/>
          <w:szCs w:val="24"/>
        </w:rPr>
      </w:pPr>
      <w:r w:rsidRPr="0090274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atteinte cardi</w:t>
      </w:r>
      <w:r w:rsidR="0007625B">
        <w:rPr>
          <w:rFonts w:ascii="Times New Roman" w:hAnsi="Times New Roman" w:cs="Times New Roman"/>
          <w:sz w:val="24"/>
          <w:szCs w:val="24"/>
        </w:rPr>
        <w:t>aque</w:t>
      </w:r>
      <w:r>
        <w:rPr>
          <w:rFonts w:ascii="Times New Roman" w:hAnsi="Times New Roman" w:cs="Times New Roman"/>
          <w:sz w:val="24"/>
          <w:szCs w:val="24"/>
        </w:rPr>
        <w:t xml:space="preserve"> inflammatoire :</w:t>
      </w:r>
    </w:p>
    <w:p w14:paraId="77656B38" w14:textId="77777777" w:rsidR="00EE7E4E" w:rsidRDefault="00A03999" w:rsidP="00A03999">
      <w:pPr>
        <w:pStyle w:val="Pardfau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02742">
        <w:rPr>
          <w:rFonts w:ascii="Times New Roman" w:hAnsi="Times New Roman" w:cs="Times New Roman"/>
          <w:sz w:val="24"/>
          <w:szCs w:val="24"/>
        </w:rPr>
        <w:t>péricardite</w:t>
      </w:r>
      <w:r>
        <w:rPr>
          <w:rFonts w:ascii="Times New Roman" w:hAnsi="Times New Roman" w:cs="Times New Roman"/>
          <w:sz w:val="24"/>
          <w:szCs w:val="24"/>
        </w:rPr>
        <w:t xml:space="preserve"> chronique récidivante (au moins 3 épisodes caractéristiques avec confirmation d’un</w:t>
      </w:r>
      <w:r w:rsidRPr="00902742">
        <w:rPr>
          <w:rFonts w:ascii="Times New Roman" w:hAnsi="Times New Roman" w:cs="Times New Roman"/>
          <w:sz w:val="24"/>
          <w:szCs w:val="24"/>
        </w:rPr>
        <w:t xml:space="preserve"> épanchement péricardique  à l’échographie cardiaque</w:t>
      </w:r>
      <w:r>
        <w:rPr>
          <w:rFonts w:ascii="Times New Roman" w:hAnsi="Times New Roman" w:cs="Times New Roman"/>
          <w:sz w:val="24"/>
          <w:szCs w:val="24"/>
        </w:rPr>
        <w:t xml:space="preserve"> et </w:t>
      </w:r>
      <w:r w:rsidR="00EE7E4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ou IRM cardiaque),</w:t>
      </w:r>
    </w:p>
    <w:p w14:paraId="6C1ED23D" w14:textId="178F8170" w:rsidR="00EE7E4E" w:rsidRDefault="00A03999" w:rsidP="00A03999">
      <w:pPr>
        <w:pStyle w:val="Pardfau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02742">
        <w:rPr>
          <w:rFonts w:ascii="Times New Roman" w:hAnsi="Times New Roman" w:cs="Times New Roman"/>
          <w:sz w:val="24"/>
          <w:szCs w:val="24"/>
        </w:rPr>
        <w:t>myocardite </w:t>
      </w:r>
      <w:r>
        <w:rPr>
          <w:rFonts w:ascii="Times New Roman" w:hAnsi="Times New Roman" w:cs="Times New Roman"/>
          <w:sz w:val="24"/>
          <w:szCs w:val="24"/>
        </w:rPr>
        <w:t xml:space="preserve">(tableau </w:t>
      </w:r>
      <w:proofErr w:type="spellStart"/>
      <w:r>
        <w:rPr>
          <w:rFonts w:ascii="Times New Roman" w:hAnsi="Times New Roman" w:cs="Times New Roman"/>
          <w:sz w:val="24"/>
          <w:szCs w:val="24"/>
        </w:rPr>
        <w:t>clinico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-biologique compatible avec une </w:t>
      </w:r>
      <w:r w:rsidRPr="00902742">
        <w:rPr>
          <w:rFonts w:ascii="Times New Roman" w:hAnsi="Times New Roman" w:cs="Times New Roman"/>
          <w:sz w:val="24"/>
          <w:szCs w:val="24"/>
        </w:rPr>
        <w:t xml:space="preserve">IRM </w:t>
      </w:r>
      <w:r>
        <w:rPr>
          <w:rFonts w:ascii="Times New Roman" w:hAnsi="Times New Roman" w:cs="Times New Roman"/>
          <w:sz w:val="24"/>
          <w:szCs w:val="24"/>
        </w:rPr>
        <w:t>cardiaque montrant un aspect de myocardite)</w:t>
      </w:r>
    </w:p>
    <w:p w14:paraId="36D28071" w14:textId="5D2699F0" w:rsidR="00A03999" w:rsidRPr="00EE7E4E" w:rsidRDefault="00A03999" w:rsidP="00A03999">
      <w:pPr>
        <w:pStyle w:val="Pardfau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E7E4E">
        <w:rPr>
          <w:rFonts w:ascii="Times New Roman" w:hAnsi="Times New Roman" w:cs="Times New Roman"/>
          <w:sz w:val="24"/>
          <w:szCs w:val="24"/>
        </w:rPr>
        <w:t>Absence d’autres étiologies retrouvées pour les atteintes cardi</w:t>
      </w:r>
      <w:r w:rsidR="00EE7E4E">
        <w:rPr>
          <w:rFonts w:ascii="Times New Roman" w:hAnsi="Times New Roman" w:cs="Times New Roman"/>
          <w:sz w:val="24"/>
          <w:szCs w:val="24"/>
        </w:rPr>
        <w:t>aques</w:t>
      </w:r>
    </w:p>
    <w:p w14:paraId="525ABCD0" w14:textId="77777777" w:rsidR="00A03999" w:rsidRDefault="00A03999" w:rsidP="00A03999">
      <w:pPr>
        <w:pStyle w:val="Pardfaut"/>
        <w:rPr>
          <w:rFonts w:ascii="Times New Roman" w:hAnsi="Times New Roman" w:cs="Times New Roman"/>
          <w:sz w:val="24"/>
          <w:szCs w:val="24"/>
        </w:rPr>
      </w:pPr>
    </w:p>
    <w:p w14:paraId="7E0A5871" w14:textId="77777777" w:rsidR="00A03999" w:rsidRPr="00902742" w:rsidRDefault="00A03999" w:rsidP="00A03999">
      <w:pPr>
        <w:pStyle w:val="Pardfaut"/>
        <w:rPr>
          <w:rFonts w:ascii="Times New Roman" w:eastAsia="Times New Roman" w:hAnsi="Times New Roman" w:cs="Times New Roman"/>
          <w:sz w:val="24"/>
          <w:szCs w:val="24"/>
        </w:rPr>
      </w:pPr>
      <w:r w:rsidRPr="00902742">
        <w:rPr>
          <w:rFonts w:ascii="Times New Roman" w:hAnsi="Times New Roman" w:cs="Times New Roman"/>
          <w:sz w:val="24"/>
          <w:szCs w:val="24"/>
        </w:rPr>
        <w:t>Si vous disposez de telles observations, vous pouvez :</w:t>
      </w:r>
    </w:p>
    <w:p w14:paraId="6DEFE1EE" w14:textId="6337B30F" w:rsidR="00A03999" w:rsidRPr="00902742" w:rsidRDefault="00A03999" w:rsidP="00A03999">
      <w:pPr>
        <w:pStyle w:val="Pardfaut"/>
        <w:rPr>
          <w:rFonts w:ascii="Times New Roman" w:eastAsia="Times New Roman" w:hAnsi="Times New Roman" w:cs="Times New Roman"/>
          <w:sz w:val="24"/>
          <w:szCs w:val="24"/>
        </w:rPr>
      </w:pPr>
      <w:r w:rsidRPr="00902742">
        <w:rPr>
          <w:rFonts w:ascii="Times New Roman" w:hAnsi="Times New Roman" w:cs="Times New Roman"/>
          <w:sz w:val="24"/>
          <w:szCs w:val="24"/>
        </w:rPr>
        <w:t xml:space="preserve">- soit remplir la fiche d’observation ci-jointe et nous la transmettre par fax, mail ou courrier postal - soit nous contacter au </w:t>
      </w:r>
      <w:hyperlink r:id="rId8" w:history="1">
        <w:r w:rsidRPr="00902742">
          <w:rPr>
            <w:rStyle w:val="Hyperlink0"/>
            <w:rFonts w:ascii="Times New Roman" w:hAnsi="Times New Roman" w:cs="Times New Roman"/>
            <w:sz w:val="24"/>
            <w:szCs w:val="24"/>
          </w:rPr>
          <w:t>arsene.mekinian@php.fr</w:t>
        </w:r>
      </w:hyperlink>
      <w:r w:rsidRPr="009027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742">
        <w:rPr>
          <w:rFonts w:ascii="Times New Roman" w:hAnsi="Times New Roman" w:cs="Times New Roman"/>
          <w:sz w:val="24"/>
          <w:szCs w:val="24"/>
        </w:rPr>
        <w:t>et nous réaliserons le recueil de données</w:t>
      </w:r>
    </w:p>
    <w:p w14:paraId="26BB6378" w14:textId="77777777" w:rsidR="00A03999" w:rsidRDefault="00A03999" w:rsidP="00A03999">
      <w:pPr>
        <w:pStyle w:val="Pardfaut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EFFFE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EFFFE"/>
        </w:rPr>
        <w:t>Tous les collègues seront coauteurs de la publication et des présentations de cette étude.</w:t>
      </w:r>
    </w:p>
    <w:p w14:paraId="67230E54" w14:textId="77777777" w:rsidR="00382660" w:rsidRDefault="00382660" w:rsidP="00A03999">
      <w:pPr>
        <w:pStyle w:val="Pardfaut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EFFFE"/>
        </w:rPr>
      </w:pPr>
    </w:p>
    <w:p w14:paraId="69605902" w14:textId="77777777" w:rsidR="002667F3" w:rsidRDefault="002667F3" w:rsidP="00A03999">
      <w:pPr>
        <w:pStyle w:val="Pardfaut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EFFFE"/>
        </w:rPr>
      </w:pPr>
    </w:p>
    <w:p w14:paraId="347AC954" w14:textId="4A0F2AF5" w:rsidR="00A03999" w:rsidRPr="00382660" w:rsidRDefault="00382660">
      <w:pPr>
        <w:pStyle w:val="Pardfaut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EFFFE"/>
        </w:rPr>
      </w:pPr>
      <w:r w:rsidRPr="00382660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shd w:val="clear" w:color="auto" w:fill="FEFFFE"/>
        </w:rPr>
        <w:t>Bibliographie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EFFFE"/>
        </w:rPr>
        <w:t xml:space="preserve"> : </w:t>
      </w:r>
    </w:p>
    <w:p w14:paraId="658A6432" w14:textId="77777777" w:rsidR="00A03999" w:rsidRDefault="00A03999">
      <w:pPr>
        <w:pStyle w:val="Pardfaut"/>
        <w:rPr>
          <w:rFonts w:ascii="Times New Roman" w:hAnsi="Times New Roman"/>
          <w:shd w:val="clear" w:color="auto" w:fill="FEFFFE"/>
        </w:rPr>
      </w:pPr>
    </w:p>
    <w:p w14:paraId="630DCB77" w14:textId="77777777" w:rsidR="00A03999" w:rsidRPr="00CD1EC4" w:rsidRDefault="00A03999" w:rsidP="00A03999">
      <w:pPr>
        <w:pStyle w:val="Pardfaut"/>
        <w:numPr>
          <w:ilvl w:val="0"/>
          <w:numId w:val="4"/>
        </w:numPr>
        <w:rPr>
          <w:rFonts w:ascii="Times New Roman" w:hAnsi="Times New Roman" w:cs="Times New Roman"/>
          <w:color w:val="212121"/>
          <w:shd w:val="clear" w:color="auto" w:fill="FEFFFE"/>
          <w:lang w:val="en-US"/>
        </w:rPr>
      </w:pPr>
      <w:proofErr w:type="spellStart"/>
      <w:r w:rsidRPr="00CD1EC4">
        <w:rPr>
          <w:rFonts w:ascii="Times New Roman" w:hAnsi="Times New Roman" w:cs="Times New Roman"/>
          <w:color w:val="212121"/>
          <w:shd w:val="clear" w:color="auto" w:fill="FEFFFE"/>
          <w:lang w:val="en-US"/>
        </w:rPr>
        <w:t>Stolwijk</w:t>
      </w:r>
      <w:proofErr w:type="spellEnd"/>
      <w:r w:rsidRPr="00CD1EC4">
        <w:rPr>
          <w:rFonts w:ascii="Times New Roman" w:hAnsi="Times New Roman" w:cs="Times New Roman"/>
          <w:color w:val="212121"/>
          <w:shd w:val="clear" w:color="auto" w:fill="FEFFFE"/>
          <w:lang w:val="en-US"/>
        </w:rPr>
        <w:t xml:space="preserve"> C, van </w:t>
      </w:r>
      <w:proofErr w:type="spellStart"/>
      <w:r w:rsidRPr="00CD1EC4">
        <w:rPr>
          <w:rFonts w:ascii="Times New Roman" w:hAnsi="Times New Roman" w:cs="Times New Roman"/>
          <w:color w:val="212121"/>
          <w:shd w:val="clear" w:color="auto" w:fill="FEFFFE"/>
          <w:lang w:val="en-US"/>
        </w:rPr>
        <w:t>Tubergen</w:t>
      </w:r>
      <w:proofErr w:type="spellEnd"/>
      <w:r w:rsidRPr="00CD1EC4">
        <w:rPr>
          <w:rFonts w:ascii="Times New Roman" w:hAnsi="Times New Roman" w:cs="Times New Roman"/>
          <w:color w:val="212121"/>
          <w:shd w:val="clear" w:color="auto" w:fill="FEFFFE"/>
          <w:lang w:val="en-US"/>
        </w:rPr>
        <w:t xml:space="preserve"> A, Castillo-Ortiz JD, et al. Prevalence of extra-articular manifestations in patients with ankylosing spondylitis: a systematic review and meta-analysis</w:t>
      </w:r>
      <w:r w:rsidRPr="0007625B">
        <w:rPr>
          <w:rFonts w:ascii="Times New Roman" w:hAnsi="Times New Roman" w:cs="Times New Roman"/>
          <w:color w:val="212121"/>
          <w:shd w:val="clear" w:color="auto" w:fill="FEFFFE"/>
          <w:lang w:val="en-US"/>
        </w:rPr>
        <w:t>. Ann Rheum Dis 2015</w:t>
      </w:r>
      <w:proofErr w:type="gramStart"/>
      <w:r w:rsidRPr="0007625B">
        <w:rPr>
          <w:rFonts w:ascii="Times New Roman" w:hAnsi="Times New Roman" w:cs="Times New Roman"/>
          <w:color w:val="212121"/>
          <w:shd w:val="clear" w:color="auto" w:fill="FEFFFE"/>
          <w:lang w:val="en-US"/>
        </w:rPr>
        <w:t>;74:65</w:t>
      </w:r>
      <w:proofErr w:type="gramEnd"/>
      <w:r w:rsidRPr="0007625B">
        <w:rPr>
          <w:rFonts w:ascii="Times New Roman" w:hAnsi="Times New Roman" w:cs="Times New Roman"/>
          <w:color w:val="212121"/>
          <w:shd w:val="clear" w:color="auto" w:fill="FEFFFE"/>
          <w:lang w:val="en-US"/>
        </w:rPr>
        <w:t>–73.</w:t>
      </w:r>
    </w:p>
    <w:p w14:paraId="23437FE8" w14:textId="364CFA38" w:rsidR="00A03999" w:rsidRPr="00CD1EC4" w:rsidRDefault="00A03999" w:rsidP="00A03999">
      <w:pPr>
        <w:pStyle w:val="Pardfaut"/>
        <w:numPr>
          <w:ilvl w:val="0"/>
          <w:numId w:val="4"/>
        </w:numPr>
        <w:rPr>
          <w:rFonts w:ascii="Times New Roman" w:hAnsi="Times New Roman" w:cs="Times New Roman"/>
          <w:color w:val="212121"/>
          <w:shd w:val="clear" w:color="auto" w:fill="FEFFFE"/>
          <w:lang w:val="en-US"/>
        </w:rPr>
      </w:pPr>
      <w:proofErr w:type="spellStart"/>
      <w:r w:rsidRPr="00CD1EC4">
        <w:rPr>
          <w:rFonts w:ascii="Times New Roman" w:hAnsi="Times New Roman" w:cs="Times New Roman"/>
          <w:color w:val="212121"/>
          <w:shd w:val="clear" w:color="auto" w:fill="FEFFFE"/>
          <w:lang w:val="en-US"/>
        </w:rPr>
        <w:t>Elewaut</w:t>
      </w:r>
      <w:proofErr w:type="spellEnd"/>
      <w:r w:rsidRPr="00CD1EC4">
        <w:rPr>
          <w:rFonts w:ascii="Times New Roman" w:hAnsi="Times New Roman" w:cs="Times New Roman"/>
          <w:color w:val="212121"/>
          <w:shd w:val="clear" w:color="auto" w:fill="FEFFFE"/>
          <w:lang w:val="en-US"/>
        </w:rPr>
        <w:t xml:space="preserve"> D, </w:t>
      </w:r>
      <w:proofErr w:type="spellStart"/>
      <w:r w:rsidRPr="00CD1EC4">
        <w:rPr>
          <w:rFonts w:ascii="Times New Roman" w:hAnsi="Times New Roman" w:cs="Times New Roman"/>
          <w:color w:val="212121"/>
          <w:shd w:val="clear" w:color="auto" w:fill="FEFFFE"/>
          <w:lang w:val="en-US"/>
        </w:rPr>
        <w:t>Matucci-Cerinic</w:t>
      </w:r>
      <w:proofErr w:type="spellEnd"/>
      <w:r w:rsidRPr="00CD1EC4">
        <w:rPr>
          <w:rFonts w:ascii="Times New Roman" w:hAnsi="Times New Roman" w:cs="Times New Roman"/>
          <w:color w:val="212121"/>
          <w:shd w:val="clear" w:color="auto" w:fill="FEFFFE"/>
          <w:lang w:val="en-US"/>
        </w:rPr>
        <w:t xml:space="preserve"> M. Treatment of ankylosing spondylitis and extra-articular manifestations in everyday rheumatology practice. Rheumatology (Oxford) 2009</w:t>
      </w:r>
      <w:proofErr w:type="gramStart"/>
      <w:r w:rsidRPr="00CD1EC4">
        <w:rPr>
          <w:rFonts w:ascii="Times New Roman" w:hAnsi="Times New Roman" w:cs="Times New Roman"/>
          <w:color w:val="212121"/>
          <w:shd w:val="clear" w:color="auto" w:fill="FEFFFE"/>
          <w:lang w:val="en-US"/>
        </w:rPr>
        <w:t>;48:1029</w:t>
      </w:r>
      <w:proofErr w:type="gramEnd"/>
      <w:r w:rsidR="00BE2E99" w:rsidRPr="00CD1EC4">
        <w:rPr>
          <w:rFonts w:ascii="Times New Roman" w:hAnsi="Times New Roman" w:cs="Times New Roman"/>
          <w:color w:val="212121"/>
          <w:shd w:val="clear" w:color="auto" w:fill="FEFFFE"/>
        </w:rPr>
        <w:t>–35.</w:t>
      </w:r>
    </w:p>
    <w:p w14:paraId="6F8E9B6E" w14:textId="77777777" w:rsidR="00A03999" w:rsidRPr="00CD1EC4" w:rsidRDefault="00A03999" w:rsidP="00A03999">
      <w:pPr>
        <w:pStyle w:val="Pardfaut"/>
        <w:numPr>
          <w:ilvl w:val="0"/>
          <w:numId w:val="4"/>
        </w:numPr>
        <w:rPr>
          <w:rFonts w:ascii="Times New Roman" w:hAnsi="Times New Roman" w:cs="Times New Roman"/>
          <w:color w:val="212121"/>
          <w:shd w:val="clear" w:color="auto" w:fill="FEFFFE"/>
        </w:rPr>
      </w:pPr>
      <w:r w:rsidRPr="0007625B">
        <w:rPr>
          <w:rFonts w:ascii="Times New Roman" w:hAnsi="Times New Roman" w:cs="Times New Roman"/>
          <w:color w:val="212121"/>
          <w:shd w:val="clear" w:color="auto" w:fill="FEFFFE"/>
          <w:lang w:val="en-US"/>
        </w:rPr>
        <w:t xml:space="preserve">O'Neill TW, </w:t>
      </w:r>
      <w:proofErr w:type="spellStart"/>
      <w:r w:rsidRPr="0007625B">
        <w:rPr>
          <w:rFonts w:ascii="Times New Roman" w:hAnsi="Times New Roman" w:cs="Times New Roman"/>
          <w:color w:val="212121"/>
          <w:shd w:val="clear" w:color="auto" w:fill="FEFFFE"/>
          <w:lang w:val="en-US"/>
        </w:rPr>
        <w:t>Bresnihan</w:t>
      </w:r>
      <w:proofErr w:type="spellEnd"/>
      <w:r w:rsidRPr="0007625B">
        <w:rPr>
          <w:rFonts w:ascii="Times New Roman" w:hAnsi="Times New Roman" w:cs="Times New Roman"/>
          <w:color w:val="212121"/>
          <w:shd w:val="clear" w:color="auto" w:fill="FEFFFE"/>
          <w:lang w:val="en-US"/>
        </w:rPr>
        <w:t xml:space="preserve"> B. The heart in ankylosing spondylitis. </w:t>
      </w:r>
      <w:r w:rsidRPr="00CD1EC4">
        <w:rPr>
          <w:rFonts w:ascii="Times New Roman" w:hAnsi="Times New Roman" w:cs="Times New Roman"/>
          <w:color w:val="212121"/>
          <w:shd w:val="clear" w:color="auto" w:fill="FEFFFE"/>
        </w:rPr>
        <w:t xml:space="preserve">Ann </w:t>
      </w:r>
      <w:proofErr w:type="spellStart"/>
      <w:r w:rsidRPr="00CD1EC4">
        <w:rPr>
          <w:rFonts w:ascii="Times New Roman" w:hAnsi="Times New Roman" w:cs="Times New Roman"/>
          <w:color w:val="212121"/>
          <w:shd w:val="clear" w:color="auto" w:fill="FEFFFE"/>
        </w:rPr>
        <w:t>Rheum</w:t>
      </w:r>
      <w:proofErr w:type="spellEnd"/>
      <w:r w:rsidRPr="00CD1EC4">
        <w:rPr>
          <w:rFonts w:ascii="Times New Roman" w:hAnsi="Times New Roman" w:cs="Times New Roman"/>
          <w:color w:val="212121"/>
          <w:shd w:val="clear" w:color="auto" w:fill="FEFFFE"/>
        </w:rPr>
        <w:t xml:space="preserve"> Dis. 1992;51(6):705–706. </w:t>
      </w:r>
      <w:proofErr w:type="spellStart"/>
      <w:r w:rsidRPr="00CD1EC4">
        <w:rPr>
          <w:rFonts w:ascii="Times New Roman" w:hAnsi="Times New Roman" w:cs="Times New Roman"/>
          <w:color w:val="212121"/>
          <w:shd w:val="clear" w:color="auto" w:fill="FEFFFE"/>
        </w:rPr>
        <w:t>doi</w:t>
      </w:r>
      <w:proofErr w:type="spellEnd"/>
      <w:r w:rsidRPr="00CD1EC4">
        <w:rPr>
          <w:rFonts w:ascii="Times New Roman" w:hAnsi="Times New Roman" w:cs="Times New Roman"/>
          <w:color w:val="212121"/>
          <w:shd w:val="clear" w:color="auto" w:fill="FEFFFE"/>
        </w:rPr>
        <w:t xml:space="preserve">: 10.1136/ard.51.6.705 </w:t>
      </w:r>
    </w:p>
    <w:p w14:paraId="4CEDB4FC" w14:textId="77777777" w:rsidR="00A03999" w:rsidRPr="00CD1EC4" w:rsidRDefault="00A03999" w:rsidP="00A03999">
      <w:pPr>
        <w:pStyle w:val="Pardfaut"/>
        <w:numPr>
          <w:ilvl w:val="0"/>
          <w:numId w:val="4"/>
        </w:numPr>
        <w:rPr>
          <w:rFonts w:ascii="Times New Roman" w:hAnsi="Times New Roman" w:cs="Times New Roman"/>
          <w:color w:val="212121"/>
          <w:shd w:val="clear" w:color="auto" w:fill="FEFFFE"/>
          <w:lang w:val="de-DE"/>
        </w:rPr>
      </w:pPr>
      <w:r w:rsidRPr="00CD1EC4">
        <w:rPr>
          <w:rFonts w:ascii="Times New Roman" w:hAnsi="Times New Roman" w:cs="Times New Roman"/>
          <w:color w:val="212121"/>
          <w:shd w:val="clear" w:color="auto" w:fill="FEFFFE"/>
          <w:lang w:val="de-DE"/>
        </w:rPr>
        <w:t xml:space="preserve">Lautermann D, Braun J. </w:t>
      </w:r>
      <w:proofErr w:type="spellStart"/>
      <w:r w:rsidRPr="00CD1EC4">
        <w:rPr>
          <w:rFonts w:ascii="Times New Roman" w:hAnsi="Times New Roman" w:cs="Times New Roman"/>
          <w:color w:val="212121"/>
          <w:shd w:val="clear" w:color="auto" w:fill="FEFFFE"/>
          <w:lang w:val="de-DE"/>
        </w:rPr>
        <w:t>Ankylosing</w:t>
      </w:r>
      <w:proofErr w:type="spellEnd"/>
      <w:r w:rsidRPr="00CD1EC4">
        <w:rPr>
          <w:rFonts w:ascii="Times New Roman" w:hAnsi="Times New Roman" w:cs="Times New Roman"/>
          <w:color w:val="212121"/>
          <w:shd w:val="clear" w:color="auto" w:fill="FEFFFE"/>
          <w:lang w:val="de-DE"/>
        </w:rPr>
        <w:t xml:space="preserve"> </w:t>
      </w:r>
      <w:proofErr w:type="spellStart"/>
      <w:r w:rsidRPr="00CD1EC4">
        <w:rPr>
          <w:rFonts w:ascii="Times New Roman" w:hAnsi="Times New Roman" w:cs="Times New Roman"/>
          <w:color w:val="212121"/>
          <w:shd w:val="clear" w:color="auto" w:fill="FEFFFE"/>
          <w:lang w:val="de-DE"/>
        </w:rPr>
        <w:t>spondylitis</w:t>
      </w:r>
      <w:proofErr w:type="spellEnd"/>
      <w:r w:rsidRPr="00CD1EC4">
        <w:rPr>
          <w:rFonts w:ascii="Times New Roman" w:hAnsi="Times New Roman" w:cs="Times New Roman"/>
          <w:color w:val="212121"/>
          <w:shd w:val="clear" w:color="auto" w:fill="FEFFFE"/>
          <w:lang w:val="de-DE"/>
        </w:rPr>
        <w:t xml:space="preserve"> </w:t>
      </w:r>
      <w:r w:rsidRPr="0007625B">
        <w:rPr>
          <w:rFonts w:ascii="Times New Roman" w:hAnsi="Times New Roman" w:cs="Times New Roman"/>
          <w:color w:val="212121"/>
          <w:shd w:val="clear" w:color="auto" w:fill="FEFFFE"/>
          <w:lang w:val="en-US"/>
        </w:rPr>
        <w:t xml:space="preserve">– </w:t>
      </w:r>
      <w:r w:rsidRPr="00CD1EC4">
        <w:rPr>
          <w:rFonts w:ascii="Times New Roman" w:hAnsi="Times New Roman" w:cs="Times New Roman"/>
          <w:color w:val="212121"/>
          <w:shd w:val="clear" w:color="auto" w:fill="FEFFFE"/>
          <w:lang w:val="it-IT"/>
        </w:rPr>
        <w:t>cardiac manifestations. Clin Exp Rheumatol 2002;20:S11</w:t>
      </w:r>
      <w:r w:rsidRPr="0007625B">
        <w:rPr>
          <w:rFonts w:ascii="Times New Roman" w:hAnsi="Times New Roman" w:cs="Times New Roman"/>
          <w:color w:val="212121"/>
          <w:shd w:val="clear" w:color="auto" w:fill="FEFFFE"/>
          <w:lang w:val="en-US"/>
        </w:rPr>
        <w:t>–15.</w:t>
      </w:r>
    </w:p>
    <w:p w14:paraId="56450249" w14:textId="77777777" w:rsidR="00A03999" w:rsidRPr="00CD1EC4" w:rsidRDefault="00A03999" w:rsidP="00A03999">
      <w:pPr>
        <w:pStyle w:val="Pardfaut"/>
        <w:numPr>
          <w:ilvl w:val="0"/>
          <w:numId w:val="4"/>
        </w:numPr>
        <w:rPr>
          <w:rFonts w:ascii="Times New Roman" w:hAnsi="Times New Roman" w:cs="Times New Roman"/>
          <w:color w:val="212121"/>
          <w:shd w:val="clear" w:color="auto" w:fill="FEFFFE"/>
        </w:rPr>
      </w:pPr>
      <w:proofErr w:type="spellStart"/>
      <w:r w:rsidRPr="0007625B">
        <w:rPr>
          <w:rFonts w:ascii="Times New Roman" w:hAnsi="Times New Roman" w:cs="Times New Roman"/>
          <w:color w:val="212121"/>
          <w:shd w:val="clear" w:color="auto" w:fill="FEFFFE"/>
          <w:lang w:val="en-US"/>
        </w:rPr>
        <w:t>Ozkan</w:t>
      </w:r>
      <w:proofErr w:type="spellEnd"/>
      <w:r w:rsidRPr="0007625B">
        <w:rPr>
          <w:rFonts w:ascii="Times New Roman" w:hAnsi="Times New Roman" w:cs="Times New Roman"/>
          <w:color w:val="212121"/>
          <w:shd w:val="clear" w:color="auto" w:fill="FEFFFE"/>
          <w:lang w:val="en-US"/>
        </w:rPr>
        <w:t xml:space="preserve"> Y. Cardiac involvement in ankylosing spondylitis. </w:t>
      </w:r>
      <w:r w:rsidRPr="00CD1EC4">
        <w:rPr>
          <w:rFonts w:ascii="Times New Roman" w:hAnsi="Times New Roman" w:cs="Times New Roman"/>
          <w:color w:val="212121"/>
          <w:shd w:val="clear" w:color="auto" w:fill="FEFFFE"/>
        </w:rPr>
        <w:t xml:space="preserve">J Clin Med </w:t>
      </w:r>
      <w:proofErr w:type="spellStart"/>
      <w:r w:rsidRPr="00CD1EC4">
        <w:rPr>
          <w:rFonts w:ascii="Times New Roman" w:hAnsi="Times New Roman" w:cs="Times New Roman"/>
          <w:color w:val="212121"/>
          <w:shd w:val="clear" w:color="auto" w:fill="FEFFFE"/>
        </w:rPr>
        <w:t>Res</w:t>
      </w:r>
      <w:proofErr w:type="spellEnd"/>
      <w:r w:rsidRPr="00CD1EC4">
        <w:rPr>
          <w:rFonts w:ascii="Times New Roman" w:hAnsi="Times New Roman" w:cs="Times New Roman"/>
          <w:color w:val="212121"/>
          <w:shd w:val="clear" w:color="auto" w:fill="FEFFFE"/>
        </w:rPr>
        <w:t xml:space="preserve"> 2016; 8: 427–430</w:t>
      </w:r>
    </w:p>
    <w:p w14:paraId="30758316" w14:textId="77777777" w:rsidR="00A03999" w:rsidRPr="00CD1EC4" w:rsidRDefault="00A03999" w:rsidP="00A03999">
      <w:pPr>
        <w:pStyle w:val="Pardfaut"/>
        <w:numPr>
          <w:ilvl w:val="0"/>
          <w:numId w:val="4"/>
        </w:numPr>
        <w:rPr>
          <w:rFonts w:ascii="Times New Roman" w:hAnsi="Times New Roman" w:cs="Times New Roman"/>
          <w:color w:val="212121"/>
          <w:shd w:val="clear" w:color="auto" w:fill="FEFFFE"/>
        </w:rPr>
      </w:pPr>
      <w:r w:rsidRPr="0007625B">
        <w:rPr>
          <w:rFonts w:ascii="Times New Roman" w:hAnsi="Times New Roman" w:cs="Times New Roman"/>
          <w:color w:val="212121"/>
          <w:shd w:val="clear" w:color="auto" w:fill="FEFFFE"/>
          <w:lang w:val="en-US"/>
        </w:rPr>
        <w:t xml:space="preserve">Gould BA, Turner J, Keeling DH, Hickling P, Marshall AJ. Myocardial dysfunction in ankylosing spondylitis. </w:t>
      </w:r>
      <w:r w:rsidRPr="00CD1EC4">
        <w:rPr>
          <w:rFonts w:ascii="Times New Roman" w:hAnsi="Times New Roman" w:cs="Times New Roman"/>
          <w:color w:val="212121"/>
          <w:shd w:val="clear" w:color="auto" w:fill="FEFFFE"/>
        </w:rPr>
        <w:t xml:space="preserve">Ann </w:t>
      </w:r>
      <w:proofErr w:type="spellStart"/>
      <w:r w:rsidRPr="00CD1EC4">
        <w:rPr>
          <w:rFonts w:ascii="Times New Roman" w:hAnsi="Times New Roman" w:cs="Times New Roman"/>
          <w:color w:val="212121"/>
          <w:shd w:val="clear" w:color="auto" w:fill="FEFFFE"/>
        </w:rPr>
        <w:t>Rheum</w:t>
      </w:r>
      <w:proofErr w:type="spellEnd"/>
      <w:r w:rsidRPr="00CD1EC4">
        <w:rPr>
          <w:rFonts w:ascii="Times New Roman" w:hAnsi="Times New Roman" w:cs="Times New Roman"/>
          <w:color w:val="212121"/>
          <w:shd w:val="clear" w:color="auto" w:fill="FEFFFE"/>
        </w:rPr>
        <w:t xml:space="preserve"> Dis. 1992;51(2):227–232. </w:t>
      </w:r>
      <w:proofErr w:type="spellStart"/>
      <w:r w:rsidRPr="00CD1EC4">
        <w:rPr>
          <w:rFonts w:ascii="Times New Roman" w:hAnsi="Times New Roman" w:cs="Times New Roman"/>
          <w:color w:val="212121"/>
          <w:shd w:val="clear" w:color="auto" w:fill="FEFFFE"/>
        </w:rPr>
        <w:t>doi</w:t>
      </w:r>
      <w:proofErr w:type="spellEnd"/>
      <w:r w:rsidRPr="00CD1EC4">
        <w:rPr>
          <w:rFonts w:ascii="Times New Roman" w:hAnsi="Times New Roman" w:cs="Times New Roman"/>
          <w:color w:val="212121"/>
          <w:shd w:val="clear" w:color="auto" w:fill="FEFFFE"/>
        </w:rPr>
        <w:t>: 10.1136/ard.51.2.227</w:t>
      </w:r>
    </w:p>
    <w:p w14:paraId="2732B14B" w14:textId="77777777" w:rsidR="00A03999" w:rsidRPr="00CD1EC4" w:rsidRDefault="00A03999" w:rsidP="00A03999">
      <w:pPr>
        <w:pStyle w:val="Pardfaut"/>
        <w:numPr>
          <w:ilvl w:val="0"/>
          <w:numId w:val="4"/>
        </w:numPr>
        <w:rPr>
          <w:rFonts w:ascii="Times New Roman" w:hAnsi="Times New Roman" w:cs="Times New Roman"/>
          <w:color w:val="212121"/>
          <w:shd w:val="clear" w:color="auto" w:fill="FEFFFE"/>
          <w:lang w:val="en-US"/>
        </w:rPr>
      </w:pPr>
      <w:proofErr w:type="spellStart"/>
      <w:r w:rsidRPr="00CD1EC4">
        <w:rPr>
          <w:rFonts w:ascii="Times New Roman" w:hAnsi="Times New Roman" w:cs="Times New Roman"/>
          <w:color w:val="212121"/>
          <w:shd w:val="clear" w:color="auto" w:fill="FEFFFE"/>
          <w:lang w:val="en-US"/>
        </w:rPr>
        <w:t>Bulkley</w:t>
      </w:r>
      <w:proofErr w:type="spellEnd"/>
      <w:r w:rsidRPr="00CD1EC4">
        <w:rPr>
          <w:rFonts w:ascii="Times New Roman" w:hAnsi="Times New Roman" w:cs="Times New Roman"/>
          <w:color w:val="212121"/>
          <w:shd w:val="clear" w:color="auto" w:fill="FEFFFE"/>
          <w:lang w:val="en-US"/>
        </w:rPr>
        <w:t xml:space="preserve"> BH, Roberts WC. Ankylosing spondylitis and aortic regurgitation. Description of the characteristic cardiovascular lesion from study of eight necropsy patients. Circulation 1973</w:t>
      </w:r>
      <w:proofErr w:type="gramStart"/>
      <w:r w:rsidRPr="00CD1EC4">
        <w:rPr>
          <w:rFonts w:ascii="Times New Roman" w:hAnsi="Times New Roman" w:cs="Times New Roman"/>
          <w:color w:val="212121"/>
          <w:shd w:val="clear" w:color="auto" w:fill="FEFFFE"/>
          <w:lang w:val="en-US"/>
        </w:rPr>
        <w:t>;48:1014</w:t>
      </w:r>
      <w:proofErr w:type="gramEnd"/>
      <w:r w:rsidRPr="00CD1EC4">
        <w:rPr>
          <w:rFonts w:ascii="Times New Roman" w:hAnsi="Times New Roman" w:cs="Times New Roman"/>
          <w:color w:val="212121"/>
          <w:shd w:val="clear" w:color="auto" w:fill="FEFFFE"/>
        </w:rPr>
        <w:t>–27.</w:t>
      </w:r>
    </w:p>
    <w:p w14:paraId="5EC85CF7" w14:textId="77777777" w:rsidR="00A03999" w:rsidRPr="00CD1EC4" w:rsidRDefault="00A03999" w:rsidP="00A03999">
      <w:pPr>
        <w:pStyle w:val="Pardfaut"/>
        <w:numPr>
          <w:ilvl w:val="0"/>
          <w:numId w:val="4"/>
        </w:numPr>
        <w:rPr>
          <w:rFonts w:ascii="Times New Roman" w:hAnsi="Times New Roman" w:cs="Times New Roman"/>
          <w:color w:val="212121"/>
          <w:shd w:val="clear" w:color="auto" w:fill="FEFFFE"/>
          <w:lang w:val="en-US"/>
        </w:rPr>
      </w:pPr>
      <w:r w:rsidRPr="00CD1EC4">
        <w:rPr>
          <w:rFonts w:ascii="Times New Roman" w:hAnsi="Times New Roman" w:cs="Times New Roman"/>
          <w:color w:val="212121"/>
          <w:shd w:val="clear" w:color="auto" w:fill="FEFFFE"/>
          <w:lang w:val="en-US"/>
        </w:rPr>
        <w:t>Graham D C, Smythe H A. The carditis and aortitis of ankylosing spondylitis. Bull Rheum Dis 1958; 9:171-4.</w:t>
      </w:r>
    </w:p>
    <w:p w14:paraId="47A35DF3" w14:textId="77777777" w:rsidR="00A03999" w:rsidRPr="00CD1EC4" w:rsidRDefault="00A03999" w:rsidP="00A03999">
      <w:pPr>
        <w:pStyle w:val="Pardfaut"/>
        <w:numPr>
          <w:ilvl w:val="0"/>
          <w:numId w:val="4"/>
        </w:numPr>
        <w:rPr>
          <w:rFonts w:ascii="Times New Roman" w:hAnsi="Times New Roman" w:cs="Times New Roman"/>
          <w:color w:val="212121"/>
          <w:shd w:val="clear" w:color="auto" w:fill="FEFFFE"/>
        </w:rPr>
      </w:pPr>
      <w:r w:rsidRPr="0007625B">
        <w:rPr>
          <w:rFonts w:ascii="Times New Roman" w:hAnsi="Times New Roman" w:cs="Times New Roman"/>
          <w:color w:val="212121"/>
          <w:shd w:val="clear" w:color="auto" w:fill="FEFFFE"/>
          <w:lang w:val="en-US"/>
        </w:rPr>
        <w:t>Roldan</w:t>
      </w:r>
      <w:r w:rsidRPr="00CD1EC4">
        <w:rPr>
          <w:rFonts w:ascii="Times New Roman" w:hAnsi="Times New Roman" w:cs="Times New Roman"/>
          <w:color w:val="212121"/>
          <w:shd w:val="clear" w:color="auto" w:fill="FEFFFE"/>
          <w:lang w:val="de-DE"/>
        </w:rPr>
        <w:t xml:space="preserve"> CA, C</w:t>
      </w:r>
      <w:proofErr w:type="spellStart"/>
      <w:r w:rsidRPr="0007625B">
        <w:rPr>
          <w:rFonts w:ascii="Times New Roman" w:hAnsi="Times New Roman" w:cs="Times New Roman"/>
          <w:color w:val="212121"/>
          <w:shd w:val="clear" w:color="auto" w:fill="FEFFFE"/>
          <w:lang w:val="en-US"/>
        </w:rPr>
        <w:t>havez</w:t>
      </w:r>
      <w:proofErr w:type="spellEnd"/>
      <w:r w:rsidRPr="0007625B">
        <w:rPr>
          <w:rFonts w:ascii="Times New Roman" w:hAnsi="Times New Roman" w:cs="Times New Roman"/>
          <w:color w:val="212121"/>
          <w:shd w:val="clear" w:color="auto" w:fill="FEFFFE"/>
          <w:lang w:val="en-US"/>
        </w:rPr>
        <w:t xml:space="preserve"> </w:t>
      </w:r>
      <w:proofErr w:type="spellStart"/>
      <w:r w:rsidRPr="0007625B">
        <w:rPr>
          <w:rFonts w:ascii="Times New Roman" w:hAnsi="Times New Roman" w:cs="Times New Roman"/>
          <w:color w:val="212121"/>
          <w:shd w:val="clear" w:color="auto" w:fill="FEFFFE"/>
          <w:lang w:val="en-US"/>
        </w:rPr>
        <w:t>J.</w:t>
      </w:r>
      <w:r w:rsidRPr="00CD1EC4">
        <w:rPr>
          <w:rFonts w:ascii="Times New Roman" w:hAnsi="Times New Roman" w:cs="Times New Roman"/>
          <w:color w:val="212121"/>
          <w:shd w:val="clear" w:color="auto" w:fill="FEFFFE"/>
          <w:lang w:val="en-US"/>
        </w:rPr>
        <w:t>Aortic</w:t>
      </w:r>
      <w:proofErr w:type="spellEnd"/>
      <w:r w:rsidRPr="00CD1EC4">
        <w:rPr>
          <w:rFonts w:ascii="Times New Roman" w:hAnsi="Times New Roman" w:cs="Times New Roman"/>
          <w:color w:val="212121"/>
          <w:shd w:val="clear" w:color="auto" w:fill="FEFFFE"/>
          <w:lang w:val="en-US"/>
        </w:rPr>
        <w:t xml:space="preserve"> root disease and valve disease associated with ankylosing spondylitis. J Am </w:t>
      </w:r>
      <w:proofErr w:type="spellStart"/>
      <w:r w:rsidRPr="00CD1EC4">
        <w:rPr>
          <w:rFonts w:ascii="Times New Roman" w:hAnsi="Times New Roman" w:cs="Times New Roman"/>
          <w:color w:val="212121"/>
          <w:shd w:val="clear" w:color="auto" w:fill="FEFFFE"/>
          <w:lang w:val="en-US"/>
        </w:rPr>
        <w:t>Coll</w:t>
      </w:r>
      <w:proofErr w:type="spellEnd"/>
      <w:r w:rsidRPr="00CD1EC4">
        <w:rPr>
          <w:rFonts w:ascii="Times New Roman" w:hAnsi="Times New Roman" w:cs="Times New Roman"/>
          <w:color w:val="212121"/>
          <w:shd w:val="clear" w:color="auto" w:fill="FEFFFE"/>
          <w:lang w:val="en-US"/>
        </w:rPr>
        <w:t xml:space="preserve"> </w:t>
      </w:r>
      <w:proofErr w:type="spellStart"/>
      <w:r w:rsidRPr="00CD1EC4">
        <w:rPr>
          <w:rFonts w:ascii="Times New Roman" w:hAnsi="Times New Roman" w:cs="Times New Roman"/>
          <w:color w:val="212121"/>
          <w:shd w:val="clear" w:color="auto" w:fill="FEFFFE"/>
          <w:lang w:val="en-US"/>
        </w:rPr>
        <w:t>Cardiol</w:t>
      </w:r>
      <w:proofErr w:type="spellEnd"/>
      <w:r w:rsidRPr="00CD1EC4">
        <w:rPr>
          <w:rFonts w:ascii="Times New Roman" w:hAnsi="Times New Roman" w:cs="Times New Roman"/>
          <w:color w:val="212121"/>
          <w:shd w:val="clear" w:color="auto" w:fill="FEFFFE"/>
          <w:lang w:val="en-US"/>
        </w:rPr>
        <w:t xml:space="preserve"> 1998; 32: 1397-404</w:t>
      </w:r>
    </w:p>
    <w:p w14:paraId="6D52022C" w14:textId="34C417CD" w:rsidR="00944D61" w:rsidRPr="00CD1EC4" w:rsidRDefault="00944D61" w:rsidP="00A729F1">
      <w:pPr>
        <w:pStyle w:val="Paragraphedeliste"/>
        <w:numPr>
          <w:ilvl w:val="0"/>
          <w:numId w:val="4"/>
        </w:numPr>
        <w:rPr>
          <w:rFonts w:ascii="Times New Roman" w:eastAsia="Times New Roman" w:hAnsi="Times New Roman"/>
          <w:sz w:val="22"/>
          <w:szCs w:val="22"/>
          <w:shd w:val="clear" w:color="auto" w:fill="FFFFFF"/>
        </w:rPr>
      </w:pPr>
      <w:r w:rsidRPr="0007625B">
        <w:rPr>
          <w:rFonts w:ascii="Times New Roman" w:hAnsi="Times New Roman"/>
          <w:bCs/>
          <w:sz w:val="22"/>
          <w:szCs w:val="22"/>
          <w:lang w:val="en-US"/>
        </w:rPr>
        <w:t xml:space="preserve">Lassalle C, </w:t>
      </w:r>
      <w:proofErr w:type="spellStart"/>
      <w:r w:rsidRPr="0007625B">
        <w:rPr>
          <w:rFonts w:ascii="Times New Roman" w:hAnsi="Times New Roman"/>
          <w:bCs/>
          <w:sz w:val="22"/>
          <w:szCs w:val="22"/>
          <w:lang w:val="en-US"/>
        </w:rPr>
        <w:t>Lonchampt</w:t>
      </w:r>
      <w:proofErr w:type="spellEnd"/>
      <w:r w:rsidRPr="0007625B">
        <w:rPr>
          <w:rFonts w:ascii="Times New Roman" w:hAnsi="Times New Roman"/>
          <w:bCs/>
          <w:sz w:val="22"/>
          <w:szCs w:val="22"/>
          <w:lang w:val="en-US"/>
        </w:rPr>
        <w:t xml:space="preserve"> M.</w:t>
      </w:r>
      <w:r w:rsidRPr="0007625B">
        <w:rPr>
          <w:rFonts w:ascii="Times New Roman" w:hAnsi="Times New Roman"/>
          <w:bCs/>
          <w:position w:val="13"/>
          <w:sz w:val="22"/>
          <w:szCs w:val="22"/>
          <w:lang w:val="en-US"/>
        </w:rPr>
        <w:t xml:space="preserve"> </w:t>
      </w:r>
      <w:proofErr w:type="spellStart"/>
      <w:r w:rsidRPr="0007625B">
        <w:rPr>
          <w:rFonts w:ascii="Times New Roman" w:hAnsi="Times New Roman"/>
          <w:bCs/>
          <w:iCs/>
          <w:sz w:val="22"/>
          <w:szCs w:val="22"/>
          <w:lang w:val="en-US"/>
        </w:rPr>
        <w:t>Thoraco</w:t>
      </w:r>
      <w:proofErr w:type="spellEnd"/>
      <w:r w:rsidRPr="0007625B">
        <w:rPr>
          <w:rFonts w:ascii="Times New Roman" w:hAnsi="Times New Roman"/>
          <w:bCs/>
          <w:iCs/>
          <w:sz w:val="22"/>
          <w:szCs w:val="22"/>
          <w:lang w:val="en-US"/>
        </w:rPr>
        <w:t xml:space="preserve">-abdominal </w:t>
      </w:r>
      <w:proofErr w:type="spellStart"/>
      <w:r w:rsidRPr="0007625B">
        <w:rPr>
          <w:rFonts w:ascii="Times New Roman" w:hAnsi="Times New Roman"/>
          <w:bCs/>
          <w:iCs/>
          <w:sz w:val="22"/>
          <w:szCs w:val="22"/>
          <w:lang w:val="en-US"/>
        </w:rPr>
        <w:t>aortitis</w:t>
      </w:r>
      <w:proofErr w:type="spellEnd"/>
      <w:r w:rsidRPr="0007625B">
        <w:rPr>
          <w:rFonts w:ascii="Times New Roman" w:hAnsi="Times New Roman"/>
          <w:bCs/>
          <w:iCs/>
          <w:sz w:val="22"/>
          <w:szCs w:val="22"/>
          <w:lang w:val="en-US"/>
        </w:rPr>
        <w:t xml:space="preserve"> in </w:t>
      </w:r>
      <w:proofErr w:type="spellStart"/>
      <w:r w:rsidRPr="0007625B">
        <w:rPr>
          <w:rFonts w:ascii="Times New Roman" w:hAnsi="Times New Roman"/>
          <w:bCs/>
          <w:iCs/>
          <w:sz w:val="22"/>
          <w:szCs w:val="22"/>
          <w:lang w:val="en-US"/>
        </w:rPr>
        <w:t>ankylosing</w:t>
      </w:r>
      <w:proofErr w:type="spellEnd"/>
      <w:r w:rsidRPr="0007625B">
        <w:rPr>
          <w:rFonts w:ascii="Times New Roman" w:hAnsi="Times New Roman"/>
          <w:bCs/>
          <w:iCs/>
          <w:sz w:val="22"/>
          <w:szCs w:val="22"/>
          <w:lang w:val="en-US"/>
        </w:rPr>
        <w:t xml:space="preserve"> spondylitis: A case report and review of literature. </w:t>
      </w:r>
      <w:hyperlink r:id="rId9" w:tooltip="Journal des maladies vasculaires." w:history="1">
        <w:r w:rsidR="00A729F1" w:rsidRPr="00CD1EC4">
          <w:rPr>
            <w:rStyle w:val="Lienhypertexte"/>
            <w:rFonts w:ascii="Times New Roman" w:eastAsia="Times New Roman" w:hAnsi="Times New Roman"/>
            <w:sz w:val="22"/>
            <w:szCs w:val="22"/>
            <w:u w:val="none"/>
            <w:shd w:val="clear" w:color="auto" w:fill="FFFFFF"/>
          </w:rPr>
          <w:t xml:space="preserve">J Mal </w:t>
        </w:r>
        <w:proofErr w:type="spellStart"/>
        <w:r w:rsidR="00A729F1" w:rsidRPr="00CD1EC4">
          <w:rPr>
            <w:rStyle w:val="Lienhypertexte"/>
            <w:rFonts w:ascii="Times New Roman" w:eastAsia="Times New Roman" w:hAnsi="Times New Roman"/>
            <w:sz w:val="22"/>
            <w:szCs w:val="22"/>
            <w:u w:val="none"/>
            <w:shd w:val="clear" w:color="auto" w:fill="FFFFFF"/>
          </w:rPr>
          <w:t>Vasc</w:t>
        </w:r>
        <w:proofErr w:type="spellEnd"/>
        <w:r w:rsidR="00A729F1" w:rsidRPr="00CD1EC4">
          <w:rPr>
            <w:rStyle w:val="Lienhypertexte"/>
            <w:rFonts w:ascii="Times New Roman" w:eastAsia="Times New Roman" w:hAnsi="Times New Roman"/>
            <w:sz w:val="22"/>
            <w:szCs w:val="22"/>
            <w:u w:val="none"/>
            <w:shd w:val="clear" w:color="auto" w:fill="FFFFFF"/>
          </w:rPr>
          <w:t>.</w:t>
        </w:r>
      </w:hyperlink>
      <w:r w:rsidR="00A729F1" w:rsidRPr="00CD1EC4">
        <w:rPr>
          <w:rFonts w:ascii="Times New Roman" w:eastAsia="Times New Roman" w:hAnsi="Times New Roman"/>
          <w:sz w:val="22"/>
          <w:szCs w:val="22"/>
          <w:shd w:val="clear" w:color="auto" w:fill="FFFFFF"/>
        </w:rPr>
        <w:t> 2011 Jun;36(3):200-8</w:t>
      </w:r>
    </w:p>
    <w:p w14:paraId="04628AA2" w14:textId="77777777" w:rsidR="00257B93" w:rsidRDefault="00821978" w:rsidP="00257B93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240" w:lineRule="atLeast"/>
        <w:rPr>
          <w:rFonts w:ascii="Times New Roman" w:hAnsi="Times New Roman"/>
          <w:sz w:val="22"/>
          <w:szCs w:val="22"/>
        </w:rPr>
      </w:pPr>
      <w:r w:rsidRPr="00382660">
        <w:rPr>
          <w:sz w:val="22"/>
          <w:szCs w:val="22"/>
        </w:rPr>
        <w:t xml:space="preserve">Soubrier M, </w:t>
      </w:r>
      <w:proofErr w:type="spellStart"/>
      <w:r w:rsidRPr="00382660">
        <w:rPr>
          <w:sz w:val="22"/>
          <w:szCs w:val="22"/>
        </w:rPr>
        <w:t>Dubost</w:t>
      </w:r>
      <w:proofErr w:type="spellEnd"/>
      <w:r w:rsidRPr="00382660">
        <w:rPr>
          <w:sz w:val="22"/>
          <w:szCs w:val="22"/>
        </w:rPr>
        <w:t xml:space="preserve"> JJ</w:t>
      </w:r>
      <w:r w:rsidR="00CD1EC4" w:rsidRPr="00382660">
        <w:rPr>
          <w:sz w:val="22"/>
          <w:szCs w:val="22"/>
        </w:rPr>
        <w:t xml:space="preserve">. </w:t>
      </w:r>
      <w:r w:rsidRPr="00382660">
        <w:rPr>
          <w:sz w:val="22"/>
          <w:szCs w:val="22"/>
        </w:rPr>
        <w:t xml:space="preserve">Maladie de Takayasu et spondylarthrite ankylosante: une association </w:t>
      </w:r>
      <w:r w:rsidRPr="00382660">
        <w:rPr>
          <w:rFonts w:ascii="Times New Roman" w:hAnsi="Times New Roman"/>
          <w:sz w:val="22"/>
          <w:szCs w:val="22"/>
        </w:rPr>
        <w:t xml:space="preserve">probablement non fortuite. Presse Med 1997;26:610. </w:t>
      </w:r>
    </w:p>
    <w:p w14:paraId="29803DAE" w14:textId="314619EB" w:rsidR="00257B93" w:rsidRPr="00257B93" w:rsidRDefault="00257B93" w:rsidP="00257B93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/>
          <w:sz w:val="22"/>
          <w:szCs w:val="22"/>
        </w:rPr>
      </w:pPr>
      <w:proofErr w:type="spellStart"/>
      <w:r w:rsidRPr="0007625B">
        <w:rPr>
          <w:rFonts w:ascii="Times New Roman" w:hAnsi="Times New Roman"/>
          <w:color w:val="101010"/>
          <w:sz w:val="22"/>
          <w:szCs w:val="22"/>
          <w:lang w:val="en-US"/>
        </w:rPr>
        <w:t>Gan</w:t>
      </w:r>
      <w:proofErr w:type="spellEnd"/>
      <w:r w:rsidRPr="0007625B">
        <w:rPr>
          <w:rFonts w:ascii="Times New Roman" w:hAnsi="Times New Roman"/>
          <w:color w:val="101010"/>
          <w:sz w:val="22"/>
          <w:szCs w:val="22"/>
          <w:lang w:val="en-US"/>
        </w:rPr>
        <w:t xml:space="preserve"> F</w:t>
      </w:r>
      <w:proofErr w:type="gramStart"/>
      <w:r w:rsidRPr="0007625B">
        <w:rPr>
          <w:rFonts w:ascii="Times New Roman" w:hAnsi="Times New Roman"/>
          <w:color w:val="101010"/>
          <w:sz w:val="22"/>
          <w:szCs w:val="22"/>
          <w:lang w:val="en-US"/>
        </w:rPr>
        <w:t xml:space="preserve">,  </w:t>
      </w:r>
      <w:proofErr w:type="spellStart"/>
      <w:r w:rsidRPr="0007625B">
        <w:rPr>
          <w:rFonts w:ascii="Times New Roman" w:hAnsi="Times New Roman"/>
          <w:color w:val="101010"/>
          <w:sz w:val="22"/>
          <w:szCs w:val="22"/>
          <w:lang w:val="en-US"/>
        </w:rPr>
        <w:t>Fei</w:t>
      </w:r>
      <w:proofErr w:type="spellEnd"/>
      <w:proofErr w:type="gramEnd"/>
      <w:r w:rsidRPr="0007625B">
        <w:rPr>
          <w:rFonts w:ascii="Times New Roman" w:hAnsi="Times New Roman"/>
          <w:color w:val="101010"/>
          <w:sz w:val="22"/>
          <w:szCs w:val="22"/>
          <w:lang w:val="en-US"/>
        </w:rPr>
        <w:t xml:space="preserve"> Y. </w:t>
      </w:r>
      <w:r w:rsidRPr="0007625B">
        <w:rPr>
          <w:rFonts w:ascii="Times New Roman" w:hAnsi="Times New Roman"/>
          <w:sz w:val="22"/>
          <w:szCs w:val="22"/>
          <w:lang w:val="en-US"/>
        </w:rPr>
        <w:t xml:space="preserve">The characteristics of patients having ankylosing spondylitis associated with </w:t>
      </w:r>
      <w:proofErr w:type="spellStart"/>
      <w:r w:rsidRPr="0007625B">
        <w:rPr>
          <w:rFonts w:ascii="Times New Roman" w:hAnsi="Times New Roman"/>
          <w:sz w:val="22"/>
          <w:szCs w:val="22"/>
          <w:lang w:val="en-US"/>
        </w:rPr>
        <w:t>Takayasu’s</w:t>
      </w:r>
      <w:proofErr w:type="spellEnd"/>
      <w:r w:rsidRPr="0007625B">
        <w:rPr>
          <w:rFonts w:ascii="Times New Roman" w:hAnsi="Times New Roman"/>
          <w:sz w:val="22"/>
          <w:szCs w:val="22"/>
          <w:lang w:val="en-US"/>
        </w:rPr>
        <w:t xml:space="preserve"> arteritis. </w:t>
      </w:r>
      <w:r w:rsidRPr="00257B93">
        <w:rPr>
          <w:rFonts w:ascii="Times New Roman" w:hAnsi="Times New Roman"/>
          <w:color w:val="101010"/>
          <w:sz w:val="22"/>
          <w:szCs w:val="22"/>
        </w:rPr>
        <w:t xml:space="preserve">Clin </w:t>
      </w:r>
      <w:proofErr w:type="spellStart"/>
      <w:r w:rsidRPr="00257B93">
        <w:rPr>
          <w:rFonts w:ascii="Times New Roman" w:hAnsi="Times New Roman"/>
          <w:color w:val="101010"/>
          <w:sz w:val="22"/>
          <w:szCs w:val="22"/>
        </w:rPr>
        <w:t>Rheumatol</w:t>
      </w:r>
      <w:proofErr w:type="spellEnd"/>
      <w:r w:rsidRPr="00257B93">
        <w:rPr>
          <w:rFonts w:ascii="Times New Roman" w:hAnsi="Times New Roman"/>
          <w:color w:val="101010"/>
          <w:sz w:val="22"/>
          <w:szCs w:val="22"/>
        </w:rPr>
        <w:t xml:space="preserve"> (2014) 33:355–358 </w:t>
      </w:r>
    </w:p>
    <w:p w14:paraId="4F7856E5" w14:textId="4E70E37F" w:rsidR="00382660" w:rsidRPr="00382660" w:rsidRDefault="008E2BF3" w:rsidP="00821978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240" w:lineRule="atLeast"/>
        <w:rPr>
          <w:rFonts w:ascii="Times New Roman" w:hAnsi="Times New Roman"/>
          <w:sz w:val="22"/>
          <w:szCs w:val="22"/>
        </w:rPr>
      </w:pPr>
      <w:r w:rsidRPr="0007625B">
        <w:rPr>
          <w:rFonts w:ascii="Times New Roman" w:hAnsi="Times New Roman"/>
          <w:sz w:val="22"/>
          <w:szCs w:val="22"/>
          <w:lang w:val="en-US"/>
        </w:rPr>
        <w:t xml:space="preserve">Rivière E, Arnaud L. </w:t>
      </w:r>
      <w:proofErr w:type="spellStart"/>
      <w:r w:rsidRPr="0007625B">
        <w:rPr>
          <w:rFonts w:ascii="Times New Roman" w:hAnsi="Times New Roman"/>
          <w:sz w:val="22"/>
          <w:szCs w:val="22"/>
          <w:lang w:val="en-US"/>
        </w:rPr>
        <w:t>Takayasu</w:t>
      </w:r>
      <w:proofErr w:type="spellEnd"/>
      <w:r w:rsidRPr="0007625B">
        <w:rPr>
          <w:rFonts w:ascii="Times New Roman" w:hAnsi="Times New Roman"/>
          <w:sz w:val="22"/>
          <w:szCs w:val="22"/>
          <w:lang w:val="en-US"/>
        </w:rPr>
        <w:t xml:space="preserve"> arteritis and </w:t>
      </w:r>
      <w:proofErr w:type="spellStart"/>
      <w:r w:rsidRPr="0007625B">
        <w:rPr>
          <w:rFonts w:ascii="Times New Roman" w:hAnsi="Times New Roman"/>
          <w:sz w:val="22"/>
          <w:szCs w:val="22"/>
          <w:lang w:val="en-US"/>
        </w:rPr>
        <w:t>spondyloarthritis</w:t>
      </w:r>
      <w:proofErr w:type="spellEnd"/>
      <w:r w:rsidRPr="0007625B">
        <w:rPr>
          <w:rFonts w:ascii="Times New Roman" w:hAnsi="Times New Roman"/>
          <w:sz w:val="22"/>
          <w:szCs w:val="22"/>
          <w:lang w:val="en-US"/>
        </w:rPr>
        <w:t xml:space="preserve">: coincidence or association? </w:t>
      </w:r>
      <w:r w:rsidRPr="00382660">
        <w:rPr>
          <w:rFonts w:ascii="Times New Roman" w:hAnsi="Times New Roman"/>
          <w:sz w:val="22"/>
          <w:szCs w:val="22"/>
        </w:rPr>
        <w:t xml:space="preserve">A </w:t>
      </w:r>
      <w:proofErr w:type="spellStart"/>
      <w:r w:rsidRPr="00382660">
        <w:rPr>
          <w:rFonts w:ascii="Times New Roman" w:hAnsi="Times New Roman"/>
          <w:sz w:val="22"/>
          <w:szCs w:val="22"/>
        </w:rPr>
        <w:t>study</w:t>
      </w:r>
      <w:proofErr w:type="spellEnd"/>
      <w:r w:rsidRPr="00382660">
        <w:rPr>
          <w:rFonts w:ascii="Times New Roman" w:hAnsi="Times New Roman"/>
          <w:sz w:val="22"/>
          <w:szCs w:val="22"/>
        </w:rPr>
        <w:t xml:space="preserve"> of 14 cases. J </w:t>
      </w:r>
      <w:proofErr w:type="spellStart"/>
      <w:r w:rsidRPr="00382660">
        <w:rPr>
          <w:rFonts w:ascii="Times New Roman" w:hAnsi="Times New Roman"/>
          <w:sz w:val="22"/>
          <w:szCs w:val="22"/>
        </w:rPr>
        <w:t>Rheumatol</w:t>
      </w:r>
      <w:proofErr w:type="spellEnd"/>
      <w:r w:rsidRPr="00382660">
        <w:rPr>
          <w:rFonts w:ascii="Times New Roman" w:hAnsi="Times New Roman"/>
          <w:sz w:val="22"/>
          <w:szCs w:val="22"/>
        </w:rPr>
        <w:t xml:space="preserve"> 2017; 44: 1011–1017.</w:t>
      </w:r>
    </w:p>
    <w:p w14:paraId="7CA7EE23" w14:textId="74111573" w:rsidR="00382660" w:rsidRPr="00382660" w:rsidRDefault="00A03999" w:rsidP="00382660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240" w:lineRule="atLeast"/>
        <w:rPr>
          <w:rFonts w:ascii="Times New Roman" w:hAnsi="Times New Roman"/>
          <w:sz w:val="22"/>
          <w:szCs w:val="22"/>
        </w:rPr>
      </w:pPr>
      <w:r w:rsidRPr="0007625B">
        <w:rPr>
          <w:rFonts w:ascii="Times New Roman" w:hAnsi="Times New Roman"/>
          <w:sz w:val="22"/>
          <w:szCs w:val="22"/>
          <w:lang w:val="en-US"/>
        </w:rPr>
        <w:t xml:space="preserve">Wilkinson M, </w:t>
      </w:r>
      <w:proofErr w:type="spellStart"/>
      <w:r w:rsidRPr="0007625B">
        <w:rPr>
          <w:rFonts w:ascii="Times New Roman" w:hAnsi="Times New Roman"/>
          <w:sz w:val="22"/>
          <w:szCs w:val="22"/>
          <w:lang w:val="en-US"/>
        </w:rPr>
        <w:t>Bywaters</w:t>
      </w:r>
      <w:proofErr w:type="spellEnd"/>
      <w:r w:rsidRPr="0007625B">
        <w:rPr>
          <w:rFonts w:ascii="Times New Roman" w:hAnsi="Times New Roman"/>
          <w:sz w:val="22"/>
          <w:szCs w:val="22"/>
          <w:lang w:val="en-US"/>
        </w:rPr>
        <w:t xml:space="preserve"> E G L. Clinical features and course of ankylosing spondylitis as seen in a follow up of 222 hospital referred cases. </w:t>
      </w:r>
      <w:r w:rsidRPr="00382660">
        <w:rPr>
          <w:rFonts w:ascii="Times New Roman" w:hAnsi="Times New Roman"/>
          <w:sz w:val="22"/>
          <w:szCs w:val="22"/>
        </w:rPr>
        <w:t xml:space="preserve">Ann </w:t>
      </w:r>
      <w:proofErr w:type="spellStart"/>
      <w:r w:rsidRPr="00382660">
        <w:rPr>
          <w:rFonts w:ascii="Times New Roman" w:hAnsi="Times New Roman"/>
          <w:sz w:val="22"/>
          <w:szCs w:val="22"/>
        </w:rPr>
        <w:t>Rheum</w:t>
      </w:r>
      <w:proofErr w:type="spellEnd"/>
      <w:r w:rsidRPr="00382660">
        <w:rPr>
          <w:rFonts w:ascii="Times New Roman" w:hAnsi="Times New Roman"/>
          <w:sz w:val="22"/>
          <w:szCs w:val="22"/>
        </w:rPr>
        <w:t xml:space="preserve"> Dis 1958; 17: 209-28</w:t>
      </w:r>
    </w:p>
    <w:p w14:paraId="37F6A1A8" w14:textId="77777777" w:rsidR="00382660" w:rsidRPr="00382660" w:rsidRDefault="00A03999" w:rsidP="00BE2E99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240" w:lineRule="atLeast"/>
        <w:rPr>
          <w:rFonts w:ascii="Times New Roman" w:hAnsi="Times New Roman"/>
          <w:sz w:val="22"/>
          <w:szCs w:val="22"/>
        </w:rPr>
      </w:pPr>
      <w:r w:rsidRPr="0007625B">
        <w:rPr>
          <w:rFonts w:ascii="Times New Roman" w:hAnsi="Times New Roman"/>
          <w:sz w:val="22"/>
          <w:szCs w:val="22"/>
          <w:lang w:val="en-US"/>
        </w:rPr>
        <w:t xml:space="preserve">Esposito M, </w:t>
      </w:r>
      <w:proofErr w:type="spellStart"/>
      <w:r w:rsidRPr="0007625B">
        <w:rPr>
          <w:rFonts w:ascii="Times New Roman" w:hAnsi="Times New Roman"/>
          <w:sz w:val="22"/>
          <w:szCs w:val="22"/>
          <w:lang w:val="en-US"/>
        </w:rPr>
        <w:t>Giuanta</w:t>
      </w:r>
      <w:proofErr w:type="spellEnd"/>
      <w:r w:rsidRPr="0007625B">
        <w:rPr>
          <w:rFonts w:ascii="Times New Roman" w:hAnsi="Times New Roman"/>
          <w:sz w:val="22"/>
          <w:szCs w:val="22"/>
          <w:lang w:val="en-US"/>
        </w:rPr>
        <w:t xml:space="preserve"> A. </w:t>
      </w:r>
      <w:r w:rsidRPr="00382660">
        <w:rPr>
          <w:rFonts w:ascii="Times New Roman" w:hAnsi="Times New Roman"/>
          <w:sz w:val="22"/>
          <w:szCs w:val="22"/>
          <w:lang w:val="en-US"/>
        </w:rPr>
        <w:t>Resolution of idiopathic recurrent pericarditis in a psoriatic arthritis patient treated with etanercept</w:t>
      </w:r>
      <w:r w:rsidRPr="0007625B">
        <w:rPr>
          <w:rFonts w:ascii="Times New Roman" w:hAnsi="Times New Roman"/>
          <w:sz w:val="22"/>
          <w:szCs w:val="22"/>
          <w:lang w:val="en-US"/>
        </w:rPr>
        <w:t xml:space="preserve">. </w:t>
      </w:r>
      <w:r w:rsidRPr="00382660">
        <w:rPr>
          <w:rFonts w:ascii="Times New Roman" w:hAnsi="Times New Roman"/>
          <w:sz w:val="22"/>
          <w:szCs w:val="22"/>
        </w:rPr>
        <w:t xml:space="preserve">EJD, vol. 22, n ◦ </w:t>
      </w:r>
      <w:r w:rsidRPr="00382660">
        <w:rPr>
          <w:rFonts w:ascii="Times New Roman" w:hAnsi="Times New Roman"/>
          <w:sz w:val="22"/>
          <w:szCs w:val="22"/>
          <w:lang w:val="en-US"/>
        </w:rPr>
        <w:t>1, January-February 2012</w:t>
      </w:r>
    </w:p>
    <w:p w14:paraId="698F912D" w14:textId="77777777" w:rsidR="00382660" w:rsidRPr="00382660" w:rsidRDefault="00A03999" w:rsidP="00382660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240" w:lineRule="atLeast"/>
        <w:rPr>
          <w:rFonts w:ascii="Times New Roman" w:hAnsi="Times New Roman"/>
          <w:sz w:val="22"/>
          <w:szCs w:val="22"/>
        </w:rPr>
      </w:pPr>
      <w:proofErr w:type="spellStart"/>
      <w:r w:rsidRPr="0007625B">
        <w:rPr>
          <w:rFonts w:ascii="Times New Roman" w:hAnsi="Times New Roman"/>
          <w:sz w:val="22"/>
          <w:szCs w:val="22"/>
          <w:lang w:val="en-US"/>
        </w:rPr>
        <w:lastRenderedPageBreak/>
        <w:t>Mitoff</w:t>
      </w:r>
      <w:proofErr w:type="spellEnd"/>
      <w:r w:rsidRPr="0007625B">
        <w:rPr>
          <w:rFonts w:ascii="Times New Roman" w:hAnsi="Times New Roman"/>
          <w:sz w:val="22"/>
          <w:szCs w:val="22"/>
          <w:lang w:val="en-US"/>
        </w:rPr>
        <w:t xml:space="preserve"> P, </w:t>
      </w:r>
      <w:proofErr w:type="spellStart"/>
      <w:r w:rsidRPr="0007625B">
        <w:rPr>
          <w:rFonts w:ascii="Times New Roman" w:hAnsi="Times New Roman"/>
          <w:sz w:val="22"/>
          <w:szCs w:val="22"/>
          <w:lang w:val="en-US"/>
        </w:rPr>
        <w:t>Mesana</w:t>
      </w:r>
      <w:proofErr w:type="spellEnd"/>
      <w:r w:rsidRPr="0007625B">
        <w:rPr>
          <w:rFonts w:ascii="Times New Roman" w:hAnsi="Times New Roman"/>
          <w:sz w:val="22"/>
          <w:szCs w:val="22"/>
          <w:lang w:val="en-US"/>
        </w:rPr>
        <w:t xml:space="preserve"> T. Giant cell myocarditis in a patient with a </w:t>
      </w:r>
      <w:proofErr w:type="spellStart"/>
      <w:r w:rsidRPr="0007625B">
        <w:rPr>
          <w:rFonts w:ascii="Times New Roman" w:hAnsi="Times New Roman"/>
          <w:sz w:val="22"/>
          <w:szCs w:val="22"/>
          <w:lang w:val="en-US"/>
        </w:rPr>
        <w:t>spondylarthropat</w:t>
      </w:r>
      <w:r w:rsidR="00382660" w:rsidRPr="0007625B">
        <w:rPr>
          <w:rFonts w:ascii="Times New Roman" w:hAnsi="Times New Roman"/>
          <w:sz w:val="22"/>
          <w:szCs w:val="22"/>
          <w:lang w:val="en-US"/>
        </w:rPr>
        <w:t>hy</w:t>
      </w:r>
      <w:proofErr w:type="spellEnd"/>
      <w:r w:rsidR="00382660" w:rsidRPr="0007625B">
        <w:rPr>
          <w:rFonts w:ascii="Times New Roman" w:hAnsi="Times New Roman"/>
          <w:sz w:val="22"/>
          <w:szCs w:val="22"/>
          <w:lang w:val="en-US"/>
        </w:rPr>
        <w:t xml:space="preserve"> after a drug hyp</w:t>
      </w:r>
      <w:r w:rsidRPr="0007625B">
        <w:rPr>
          <w:rFonts w:ascii="Times New Roman" w:hAnsi="Times New Roman"/>
          <w:sz w:val="22"/>
          <w:szCs w:val="22"/>
          <w:lang w:val="en-US"/>
        </w:rPr>
        <w:t>ersensitivity reaction</w:t>
      </w:r>
      <w:r w:rsidR="00BE2E99" w:rsidRPr="0007625B">
        <w:rPr>
          <w:rFonts w:ascii="Times New Roman" w:hAnsi="Times New Roman"/>
          <w:sz w:val="22"/>
          <w:szCs w:val="22"/>
          <w:lang w:val="en-US"/>
        </w:rPr>
        <w:t xml:space="preserve">, </w:t>
      </w:r>
      <w:r w:rsidR="00BE2E99" w:rsidRPr="0007625B">
        <w:rPr>
          <w:rFonts w:ascii="Times New Roman" w:eastAsia="Times New Roman" w:hAnsi="Times New Roman"/>
          <w:sz w:val="22"/>
          <w:szCs w:val="22"/>
          <w:shd w:val="clear" w:color="auto" w:fill="FFFFFF"/>
          <w:lang w:val="en-US"/>
        </w:rPr>
        <w:t xml:space="preserve">Can J </w:t>
      </w:r>
      <w:proofErr w:type="spellStart"/>
      <w:r w:rsidR="00BE2E99" w:rsidRPr="0007625B">
        <w:rPr>
          <w:rFonts w:ascii="Times New Roman" w:eastAsia="Times New Roman" w:hAnsi="Times New Roman"/>
          <w:sz w:val="22"/>
          <w:szCs w:val="22"/>
          <w:shd w:val="clear" w:color="auto" w:fill="FFFFFF"/>
          <w:lang w:val="en-US"/>
        </w:rPr>
        <w:t>Cardiol</w:t>
      </w:r>
      <w:proofErr w:type="spellEnd"/>
      <w:r w:rsidR="00BE2E99" w:rsidRPr="0007625B">
        <w:rPr>
          <w:rFonts w:ascii="Times New Roman" w:eastAsia="Times New Roman" w:hAnsi="Times New Roman"/>
          <w:sz w:val="22"/>
          <w:szCs w:val="22"/>
          <w:shd w:val="clear" w:color="auto" w:fill="FFFFFF"/>
          <w:lang w:val="en-US"/>
        </w:rPr>
        <w:t>. </w:t>
      </w:r>
      <w:r w:rsidR="00BE2E99" w:rsidRPr="00382660">
        <w:rPr>
          <w:rFonts w:ascii="Times New Roman" w:eastAsia="Times New Roman" w:hAnsi="Times New Roman"/>
          <w:sz w:val="22"/>
          <w:szCs w:val="22"/>
          <w:shd w:val="clear" w:color="auto" w:fill="FFFFFF"/>
        </w:rPr>
        <w:t>2013 Sep;29(9):1138.e7-8</w:t>
      </w:r>
      <w:r w:rsidR="00BE2E99" w:rsidRPr="00382660">
        <w:rPr>
          <w:rFonts w:ascii="Times New Roman" w:eastAsia="Times New Roman" w:hAnsi="Times New Roman"/>
          <w:color w:val="000000"/>
          <w:sz w:val="22"/>
          <w:szCs w:val="22"/>
          <w:shd w:val="clear" w:color="auto" w:fill="FFFFFF"/>
        </w:rPr>
        <w:t>.</w:t>
      </w:r>
    </w:p>
    <w:p w14:paraId="25398D87" w14:textId="77777777" w:rsidR="00382660" w:rsidRPr="00382660" w:rsidRDefault="00A03999" w:rsidP="00382660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240" w:lineRule="atLeast"/>
        <w:rPr>
          <w:rFonts w:ascii="Times New Roman" w:hAnsi="Times New Roman"/>
          <w:sz w:val="22"/>
          <w:szCs w:val="22"/>
        </w:rPr>
      </w:pPr>
      <w:r w:rsidRPr="00382660">
        <w:rPr>
          <w:rFonts w:ascii="Times New Roman" w:eastAsia="Times New Roman" w:hAnsi="Times New Roman"/>
          <w:iCs/>
          <w:sz w:val="22"/>
          <w:szCs w:val="22"/>
          <w:lang w:val="en-US"/>
        </w:rPr>
        <w:t>Bryant D, Becker L</w:t>
      </w:r>
      <w:r w:rsidRPr="0007625B">
        <w:rPr>
          <w:rFonts w:ascii="Times New Roman" w:eastAsia="Times New Roman" w:hAnsi="Times New Roman"/>
          <w:iCs/>
          <w:sz w:val="22"/>
          <w:szCs w:val="22"/>
          <w:lang w:val="en-US"/>
        </w:rPr>
        <w:t xml:space="preserve">. </w:t>
      </w:r>
      <w:r w:rsidRPr="00382660">
        <w:rPr>
          <w:rFonts w:ascii="Times New Roman" w:eastAsia="Times New Roman" w:hAnsi="Times New Roman"/>
          <w:iCs/>
          <w:sz w:val="22"/>
          <w:szCs w:val="22"/>
          <w:lang w:val="en-US"/>
        </w:rPr>
        <w:t xml:space="preserve">Cardiac failure in transgenic mice with myocardial expression of tumor necrosis factor-alpha. </w:t>
      </w:r>
      <w:r w:rsidRPr="00382660">
        <w:rPr>
          <w:rFonts w:ascii="Times New Roman" w:eastAsia="Times New Roman" w:hAnsi="Times New Roman"/>
          <w:iCs/>
          <w:sz w:val="22"/>
          <w:szCs w:val="22"/>
        </w:rPr>
        <w:t>Circulation. 1998;97(14):1375.</w:t>
      </w:r>
    </w:p>
    <w:p w14:paraId="6038F5E4" w14:textId="77777777" w:rsidR="00382660" w:rsidRPr="00382660" w:rsidRDefault="00A03999" w:rsidP="00A03999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240" w:lineRule="atLeast"/>
        <w:rPr>
          <w:rFonts w:ascii="Times New Roman" w:hAnsi="Times New Roman"/>
          <w:sz w:val="22"/>
          <w:szCs w:val="22"/>
        </w:rPr>
      </w:pPr>
      <w:r w:rsidRPr="00382660">
        <w:rPr>
          <w:rFonts w:ascii="Times New Roman" w:eastAsia="Times New Roman" w:hAnsi="Times New Roman"/>
          <w:iCs/>
          <w:sz w:val="22"/>
          <w:szCs w:val="22"/>
          <w:lang w:val="en-US"/>
        </w:rPr>
        <w:t>Satoh M, Nakamura M. Expression of tumor necrosis factor-alpha--converting enzyme and tumor necrosis factor-alpha in human myocarditis. J Am Coll Cardiol. 2000;36(4):1288</w:t>
      </w:r>
    </w:p>
    <w:p w14:paraId="66456241" w14:textId="05909080" w:rsidR="00A03999" w:rsidRPr="00CC1D6E" w:rsidRDefault="00A03999" w:rsidP="00A03999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240" w:lineRule="atLeast"/>
        <w:rPr>
          <w:rFonts w:ascii="Times New Roman" w:hAnsi="Times New Roman"/>
          <w:sz w:val="22"/>
          <w:szCs w:val="22"/>
        </w:rPr>
      </w:pPr>
      <w:proofErr w:type="spellStart"/>
      <w:r w:rsidRPr="0007625B">
        <w:rPr>
          <w:rFonts w:ascii="Times New Roman" w:eastAsia="Times New Roman" w:hAnsi="Times New Roman"/>
          <w:iCs/>
          <w:sz w:val="22"/>
          <w:szCs w:val="22"/>
          <w:lang w:val="en-US"/>
        </w:rPr>
        <w:t>Ntobeko</w:t>
      </w:r>
      <w:proofErr w:type="spellEnd"/>
      <w:r w:rsidRPr="0007625B">
        <w:rPr>
          <w:rFonts w:ascii="Times New Roman" w:eastAsia="Times New Roman" w:hAnsi="Times New Roman"/>
          <w:iCs/>
          <w:sz w:val="22"/>
          <w:szCs w:val="22"/>
          <w:lang w:val="en-US"/>
        </w:rPr>
        <w:t xml:space="preserve"> A, </w:t>
      </w:r>
      <w:proofErr w:type="spellStart"/>
      <w:r w:rsidRPr="0007625B">
        <w:rPr>
          <w:rFonts w:ascii="Times New Roman" w:eastAsia="Times New Roman" w:hAnsi="Times New Roman"/>
          <w:iCs/>
          <w:sz w:val="22"/>
          <w:szCs w:val="22"/>
          <w:lang w:val="en-US"/>
        </w:rPr>
        <w:t>Ntusi</w:t>
      </w:r>
      <w:proofErr w:type="spellEnd"/>
      <w:r w:rsidRPr="0007625B">
        <w:rPr>
          <w:rFonts w:ascii="Times New Roman" w:eastAsia="Times New Roman" w:hAnsi="Times New Roman"/>
          <w:iCs/>
          <w:sz w:val="22"/>
          <w:szCs w:val="22"/>
          <w:lang w:val="en-US"/>
        </w:rPr>
        <w:t xml:space="preserve">. Anti-TNF modulation reduces myocardial inflammation and improves cardiovascular function in systemic rheumatic diseases. </w:t>
      </w:r>
      <w:r w:rsidRPr="00382660">
        <w:rPr>
          <w:rFonts w:ascii="Times New Roman" w:eastAsia="Times New Roman" w:hAnsi="Times New Roman"/>
          <w:iCs/>
          <w:sz w:val="22"/>
          <w:szCs w:val="22"/>
        </w:rPr>
        <w:t xml:space="preserve">International journal of </w:t>
      </w:r>
      <w:proofErr w:type="spellStart"/>
      <w:r w:rsidRPr="00382660">
        <w:rPr>
          <w:rFonts w:ascii="Times New Roman" w:eastAsia="Times New Roman" w:hAnsi="Times New Roman"/>
          <w:iCs/>
          <w:sz w:val="22"/>
          <w:szCs w:val="22"/>
        </w:rPr>
        <w:t>cardiology</w:t>
      </w:r>
      <w:proofErr w:type="spellEnd"/>
      <w:r w:rsidRPr="00382660">
        <w:rPr>
          <w:rFonts w:ascii="Times New Roman" w:eastAsia="Times New Roman" w:hAnsi="Times New Roman"/>
          <w:iCs/>
          <w:sz w:val="22"/>
          <w:szCs w:val="22"/>
        </w:rPr>
        <w:t xml:space="preserve"> 270 (2018) 253-259</w:t>
      </w:r>
    </w:p>
    <w:p w14:paraId="2DDCAE44" w14:textId="07A59341" w:rsidR="00CC1D6E" w:rsidRPr="000D348C" w:rsidRDefault="00CC1D6E" w:rsidP="00A03999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240" w:lineRule="atLeast"/>
        <w:rPr>
          <w:rFonts w:ascii="Times New Roman" w:hAnsi="Times New Roman"/>
          <w:sz w:val="22"/>
          <w:szCs w:val="22"/>
        </w:rPr>
      </w:pPr>
      <w:proofErr w:type="spellStart"/>
      <w:r w:rsidRPr="00353EF2">
        <w:rPr>
          <w:rFonts w:ascii="Times New Roman" w:hAnsi="Times New Roman"/>
          <w:sz w:val="22"/>
          <w:szCs w:val="22"/>
          <w:highlight w:val="yellow"/>
          <w:lang w:val="en-US"/>
        </w:rPr>
        <w:t>Selmi</w:t>
      </w:r>
      <w:proofErr w:type="spellEnd"/>
      <w:r w:rsidRPr="00353EF2">
        <w:rPr>
          <w:rFonts w:ascii="Times New Roman" w:hAnsi="Times New Roman"/>
          <w:sz w:val="22"/>
          <w:szCs w:val="22"/>
          <w:highlight w:val="yellow"/>
          <w:lang w:val="en-US"/>
        </w:rPr>
        <w:t xml:space="preserve"> C, Gershwin ME. Diagnosis and classification of reactive arthritis. </w:t>
      </w:r>
      <w:r w:rsidRPr="000D348C">
        <w:rPr>
          <w:rFonts w:ascii="Times New Roman" w:hAnsi="Times New Roman"/>
          <w:sz w:val="22"/>
          <w:szCs w:val="22"/>
          <w:highlight w:val="yellow"/>
        </w:rPr>
        <w:t xml:space="preserve">Auto immun </w:t>
      </w:r>
      <w:proofErr w:type="spellStart"/>
      <w:r w:rsidRPr="000D348C">
        <w:rPr>
          <w:rFonts w:ascii="Times New Roman" w:hAnsi="Times New Roman"/>
          <w:sz w:val="22"/>
          <w:szCs w:val="22"/>
          <w:highlight w:val="yellow"/>
        </w:rPr>
        <w:t>Rev</w:t>
      </w:r>
      <w:proofErr w:type="spellEnd"/>
      <w:r w:rsidRPr="000D348C">
        <w:rPr>
          <w:rFonts w:ascii="Times New Roman" w:hAnsi="Times New Roman"/>
          <w:sz w:val="22"/>
          <w:szCs w:val="22"/>
          <w:highlight w:val="yellow"/>
        </w:rPr>
        <w:t>. 2014 ; 13 : 546–9</w:t>
      </w:r>
    </w:p>
    <w:p w14:paraId="2E8A3DD1" w14:textId="2A647ACA" w:rsidR="00553E9E" w:rsidRPr="004963BE" w:rsidRDefault="00ED3C0A" w:rsidP="004963B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180" w:lineRule="atLeast"/>
        <w:jc w:val="both"/>
        <w:rPr>
          <w:lang w:val="fr-FR" w:eastAsia="fr-FR"/>
        </w:rPr>
      </w:pPr>
      <w:r w:rsidRPr="00ED3C0A">
        <w:rPr>
          <w:lang w:val="fr-FR" w:eastAsia="fr-FR"/>
        </w:rPr>
        <w:t> </w:t>
      </w:r>
    </w:p>
    <w:p w14:paraId="08724D5A" w14:textId="77777777" w:rsidR="00553E9E" w:rsidRDefault="00553E9E">
      <w:pPr>
        <w:pStyle w:val="Pardfaut"/>
        <w:ind w:left="540" w:hanging="540"/>
        <w:rPr>
          <w:rFonts w:ascii="Times New Roman" w:eastAsia="Times New Roman" w:hAnsi="Times New Roman" w:cs="Times New Roman"/>
        </w:rPr>
      </w:pPr>
    </w:p>
    <w:p w14:paraId="240E21AE" w14:textId="77777777" w:rsidR="00553E9E" w:rsidRDefault="00553E9E">
      <w:pPr>
        <w:pStyle w:val="Pardfaut"/>
        <w:ind w:left="540" w:hanging="540"/>
        <w:rPr>
          <w:rFonts w:ascii="Times New Roman" w:eastAsia="Times New Roman" w:hAnsi="Times New Roman" w:cs="Times New Roman"/>
        </w:rPr>
      </w:pPr>
    </w:p>
    <w:p w14:paraId="4D2EDB97" w14:textId="77777777" w:rsidR="00553E9E" w:rsidRDefault="00553E9E">
      <w:pPr>
        <w:pStyle w:val="Pardfaut"/>
        <w:ind w:left="540" w:hanging="540"/>
        <w:rPr>
          <w:rFonts w:ascii="Times New Roman" w:eastAsia="Times New Roman" w:hAnsi="Times New Roman" w:cs="Times New Roman"/>
        </w:rPr>
      </w:pPr>
    </w:p>
    <w:p w14:paraId="19AAFF5B" w14:textId="77777777" w:rsidR="00553E9E" w:rsidRDefault="00553E9E">
      <w:pPr>
        <w:pStyle w:val="Pardfaut"/>
        <w:ind w:left="540" w:hanging="540"/>
        <w:rPr>
          <w:rFonts w:ascii="Times New Roman" w:eastAsia="Times New Roman" w:hAnsi="Times New Roman" w:cs="Times New Roman"/>
        </w:rPr>
      </w:pPr>
    </w:p>
    <w:p w14:paraId="5013152F" w14:textId="77777777" w:rsidR="00553E9E" w:rsidRDefault="00553E9E">
      <w:pPr>
        <w:pStyle w:val="Pardfaut"/>
        <w:ind w:left="540" w:hanging="540"/>
        <w:rPr>
          <w:rFonts w:ascii="Times New Roman" w:eastAsia="Times New Roman" w:hAnsi="Times New Roman" w:cs="Times New Roman"/>
        </w:rPr>
      </w:pPr>
    </w:p>
    <w:p w14:paraId="07207EB9" w14:textId="77777777" w:rsidR="00553E9E" w:rsidRDefault="00553E9E">
      <w:pPr>
        <w:pStyle w:val="Pardfaut"/>
        <w:ind w:left="540" w:hanging="540"/>
        <w:rPr>
          <w:rFonts w:ascii="Times New Roman" w:eastAsia="Times New Roman" w:hAnsi="Times New Roman" w:cs="Times New Roman"/>
        </w:rPr>
      </w:pPr>
    </w:p>
    <w:p w14:paraId="04AA4019" w14:textId="77777777" w:rsidR="00553E9E" w:rsidRDefault="00553E9E">
      <w:pPr>
        <w:pStyle w:val="Pardfaut"/>
      </w:pPr>
    </w:p>
    <w:sectPr w:rsidR="00553E9E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21AC5" w14:textId="77777777" w:rsidR="00471D8E" w:rsidRDefault="00471D8E">
      <w:r>
        <w:separator/>
      </w:r>
    </w:p>
  </w:endnote>
  <w:endnote w:type="continuationSeparator" w:id="0">
    <w:p w14:paraId="63A62E2C" w14:textId="77777777" w:rsidR="00471D8E" w:rsidRDefault="0047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67C5B" w14:textId="77777777" w:rsidR="00CC1D6E" w:rsidRDefault="00CC1D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EDD90" w14:textId="77777777" w:rsidR="00471D8E" w:rsidRDefault="00471D8E">
      <w:r>
        <w:separator/>
      </w:r>
    </w:p>
  </w:footnote>
  <w:footnote w:type="continuationSeparator" w:id="0">
    <w:p w14:paraId="3B77D713" w14:textId="77777777" w:rsidR="00471D8E" w:rsidRDefault="00471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C3822" w14:textId="77777777" w:rsidR="00CC1D6E" w:rsidRDefault="00CC1D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9522633"/>
    <w:multiLevelType w:val="hybridMultilevel"/>
    <w:tmpl w:val="F0EAD168"/>
    <w:numStyleLink w:val="Nombres"/>
  </w:abstractNum>
  <w:abstractNum w:abstractNumId="2">
    <w:nsid w:val="4E01324A"/>
    <w:multiLevelType w:val="hybridMultilevel"/>
    <w:tmpl w:val="7964652C"/>
    <w:lvl w:ilvl="0" w:tplc="E9E45F1E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9E0899"/>
    <w:multiLevelType w:val="hybridMultilevel"/>
    <w:tmpl w:val="EDA0A68C"/>
    <w:styleLink w:val="Tiret"/>
    <w:lvl w:ilvl="0" w:tplc="D46A63B4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EA451C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DC273C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EC8C10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E82A02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7C08A04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A88558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80FFE6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F4422D2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579827A5"/>
    <w:multiLevelType w:val="hybridMultilevel"/>
    <w:tmpl w:val="5CE8AD5C"/>
    <w:lvl w:ilvl="0" w:tplc="57525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AC53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14A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8E4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3AC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6C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8C1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78F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0E2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1AF4D63"/>
    <w:multiLevelType w:val="hybridMultilevel"/>
    <w:tmpl w:val="46F0CD32"/>
    <w:lvl w:ilvl="0" w:tplc="9112E8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E8201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BBCE56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D5E19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F0290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5A2EE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6B45C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662412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34288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>
    <w:nsid w:val="68042091"/>
    <w:multiLevelType w:val="hybridMultilevel"/>
    <w:tmpl w:val="EDA0A68C"/>
    <w:numStyleLink w:val="Tiret"/>
  </w:abstractNum>
  <w:abstractNum w:abstractNumId="7">
    <w:nsid w:val="69F07C33"/>
    <w:multiLevelType w:val="hybridMultilevel"/>
    <w:tmpl w:val="166C6F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D2F8A"/>
    <w:multiLevelType w:val="hybridMultilevel"/>
    <w:tmpl w:val="F0EAD168"/>
    <w:styleLink w:val="Nombres"/>
    <w:lvl w:ilvl="0" w:tplc="1EB8CD2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BC10E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DC2E02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26E95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68D94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C3CBC0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EA015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ABC628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32975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9E"/>
    <w:rsid w:val="000020DA"/>
    <w:rsid w:val="00024708"/>
    <w:rsid w:val="0007625B"/>
    <w:rsid w:val="000D348C"/>
    <w:rsid w:val="001F6F4A"/>
    <w:rsid w:val="0024336F"/>
    <w:rsid w:val="00257B93"/>
    <w:rsid w:val="002667F3"/>
    <w:rsid w:val="00292DD2"/>
    <w:rsid w:val="00353EF2"/>
    <w:rsid w:val="00382660"/>
    <w:rsid w:val="00400D2F"/>
    <w:rsid w:val="00471D8E"/>
    <w:rsid w:val="00472222"/>
    <w:rsid w:val="004857DF"/>
    <w:rsid w:val="004963BE"/>
    <w:rsid w:val="004C404C"/>
    <w:rsid w:val="00553443"/>
    <w:rsid w:val="00553E9E"/>
    <w:rsid w:val="0057475F"/>
    <w:rsid w:val="005D139C"/>
    <w:rsid w:val="00661C39"/>
    <w:rsid w:val="008201CA"/>
    <w:rsid w:val="00821978"/>
    <w:rsid w:val="008E2BF3"/>
    <w:rsid w:val="00944D61"/>
    <w:rsid w:val="00A03999"/>
    <w:rsid w:val="00A36314"/>
    <w:rsid w:val="00A729F1"/>
    <w:rsid w:val="00A95BDE"/>
    <w:rsid w:val="00B05C6C"/>
    <w:rsid w:val="00BE2E99"/>
    <w:rsid w:val="00C31089"/>
    <w:rsid w:val="00CC1D6E"/>
    <w:rsid w:val="00CD1EC4"/>
    <w:rsid w:val="00D157E5"/>
    <w:rsid w:val="00D9426B"/>
    <w:rsid w:val="00DF15E7"/>
    <w:rsid w:val="00E85400"/>
    <w:rsid w:val="00EA4203"/>
    <w:rsid w:val="00ED3C0A"/>
    <w:rsid w:val="00EE7E4E"/>
    <w:rsid w:val="00FD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FB95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Pr>
      <w:rFonts w:ascii="Helvetica Neue" w:hAnsi="Helvetica Neue" w:cs="Arial Unicode MS"/>
      <w:color w:val="000000"/>
      <w:sz w:val="22"/>
      <w:szCs w:val="22"/>
    </w:rPr>
  </w:style>
  <w:style w:type="numbering" w:customStyle="1" w:styleId="Tiret">
    <w:name w:val="Tiret"/>
    <w:pPr>
      <w:numPr>
        <w:numId w:val="1"/>
      </w:numPr>
    </w:pPr>
  </w:style>
  <w:style w:type="character" w:customStyle="1" w:styleId="Aucune">
    <w:name w:val="Aucune"/>
  </w:style>
  <w:style w:type="character" w:customStyle="1" w:styleId="Hyperlink0">
    <w:name w:val="Hyperlink.0"/>
    <w:basedOn w:val="Aucune"/>
    <w:rPr>
      <w:color w:val="0000ED"/>
      <w:u w:val="single" w:color="0000ED"/>
    </w:rPr>
  </w:style>
  <w:style w:type="numbering" w:customStyle="1" w:styleId="Nombres">
    <w:name w:val="Nombres"/>
    <w:pPr>
      <w:numPr>
        <w:numId w:val="3"/>
      </w:numPr>
    </w:pPr>
  </w:style>
  <w:style w:type="paragraph" w:styleId="NormalWeb">
    <w:name w:val="Normal (Web)"/>
    <w:basedOn w:val="Normal"/>
    <w:uiPriority w:val="99"/>
    <w:semiHidden/>
    <w:unhideWhenUsed/>
    <w:rsid w:val="004722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fr-FR" w:eastAsia="fr-FR"/>
    </w:rPr>
  </w:style>
  <w:style w:type="paragraph" w:styleId="Paragraphedeliste">
    <w:name w:val="List Paragraph"/>
    <w:basedOn w:val="Normal"/>
    <w:uiPriority w:val="34"/>
    <w:qFormat/>
    <w:rsid w:val="005D13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Times" w:hAnsi="Times"/>
      <w:sz w:val="20"/>
      <w:szCs w:val="20"/>
      <w:bdr w:val="none" w:sz="0" w:space="0" w:color="auto"/>
      <w:lang w:val="fr-FR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E2E99"/>
    <w:rPr>
      <w:color w:val="FF00FF" w:themeColor="followedHyperlink"/>
      <w:u w:val="single"/>
    </w:rPr>
  </w:style>
  <w:style w:type="paragraph" w:styleId="Sansinterligne">
    <w:name w:val="No Spacing"/>
    <w:uiPriority w:val="1"/>
    <w:qFormat/>
    <w:rsid w:val="00821978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Pr>
      <w:rFonts w:ascii="Helvetica Neue" w:hAnsi="Helvetica Neue" w:cs="Arial Unicode MS"/>
      <w:color w:val="000000"/>
      <w:sz w:val="22"/>
      <w:szCs w:val="22"/>
    </w:rPr>
  </w:style>
  <w:style w:type="numbering" w:customStyle="1" w:styleId="Tiret">
    <w:name w:val="Tiret"/>
    <w:pPr>
      <w:numPr>
        <w:numId w:val="1"/>
      </w:numPr>
    </w:pPr>
  </w:style>
  <w:style w:type="character" w:customStyle="1" w:styleId="Aucune">
    <w:name w:val="Aucune"/>
  </w:style>
  <w:style w:type="character" w:customStyle="1" w:styleId="Hyperlink0">
    <w:name w:val="Hyperlink.0"/>
    <w:basedOn w:val="Aucune"/>
    <w:rPr>
      <w:color w:val="0000ED"/>
      <w:u w:val="single" w:color="0000ED"/>
    </w:rPr>
  </w:style>
  <w:style w:type="numbering" w:customStyle="1" w:styleId="Nombres">
    <w:name w:val="Nombres"/>
    <w:pPr>
      <w:numPr>
        <w:numId w:val="3"/>
      </w:numPr>
    </w:pPr>
  </w:style>
  <w:style w:type="paragraph" w:styleId="NormalWeb">
    <w:name w:val="Normal (Web)"/>
    <w:basedOn w:val="Normal"/>
    <w:uiPriority w:val="99"/>
    <w:semiHidden/>
    <w:unhideWhenUsed/>
    <w:rsid w:val="004722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fr-FR" w:eastAsia="fr-FR"/>
    </w:rPr>
  </w:style>
  <w:style w:type="paragraph" w:styleId="Paragraphedeliste">
    <w:name w:val="List Paragraph"/>
    <w:basedOn w:val="Normal"/>
    <w:uiPriority w:val="34"/>
    <w:qFormat/>
    <w:rsid w:val="005D13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Times" w:hAnsi="Times"/>
      <w:sz w:val="20"/>
      <w:szCs w:val="20"/>
      <w:bdr w:val="none" w:sz="0" w:space="0" w:color="auto"/>
      <w:lang w:val="fr-FR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E2E99"/>
    <w:rPr>
      <w:color w:val="FF00FF" w:themeColor="followedHyperlink"/>
      <w:u w:val="single"/>
    </w:rPr>
  </w:style>
  <w:style w:type="paragraph" w:styleId="Sansinterligne">
    <w:name w:val="No Spacing"/>
    <w:uiPriority w:val="1"/>
    <w:qFormat/>
    <w:rsid w:val="0082197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39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420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ene.mekinian@php.f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-ncbi-nlm-nih-gov.sirius.parisdescartes.fr/pubmed/?term=Thoraco-abdominal+aortitis+in+ankylosing+spondylitis%3A+A+case+report+and+review+of+literature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1258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ECN</Company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</dc:creator>
  <cp:lastModifiedBy>SELLAM Jérémie</cp:lastModifiedBy>
  <cp:revision>2</cp:revision>
  <cp:lastPrinted>2019-07-05T13:58:00Z</cp:lastPrinted>
  <dcterms:created xsi:type="dcterms:W3CDTF">2019-10-07T09:43:00Z</dcterms:created>
  <dcterms:modified xsi:type="dcterms:W3CDTF">2019-10-07T09:43:00Z</dcterms:modified>
</cp:coreProperties>
</file>