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496B" w14:textId="49E7DEF6" w:rsidR="009B02AB" w:rsidRPr="009B02AB" w:rsidRDefault="009B02AB" w:rsidP="009B02AB">
      <w:pPr>
        <w:shd w:val="clear" w:color="auto" w:fill="FFFFFF"/>
        <w:spacing w:before="100" w:beforeAutospacing="1" w:after="100" w:afterAutospacing="1"/>
        <w:jc w:val="center"/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</w:pPr>
      <w:r w:rsidRPr="009B02AB">
        <w:rPr>
          <w:rFonts w:asciiTheme="majorHAnsi" w:hAnsiTheme="majorHAnsi" w:cs="Times New Roman"/>
          <w:b/>
          <w:bCs/>
          <w:iCs/>
          <w:color w:val="000000"/>
          <w:u w:val="single"/>
        </w:rPr>
        <w:t>Etude observationnelle -</w:t>
      </w:r>
      <w:r w:rsidRPr="009B02AB"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  <w:t xml:space="preserve"> Manifestations </w:t>
      </w:r>
      <w:proofErr w:type="spellStart"/>
      <w:r w:rsidRPr="009B02AB"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  <w:t>articulaires</w:t>
      </w:r>
      <w:proofErr w:type="spellEnd"/>
      <w:r w:rsidRPr="009B02AB"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  <w:t xml:space="preserve"> de </w:t>
      </w:r>
      <w:proofErr w:type="spellStart"/>
      <w:r w:rsidRPr="009B02AB"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  <w:t>l'infection</w:t>
      </w:r>
      <w:proofErr w:type="spellEnd"/>
      <w:r w:rsidRPr="009B02AB">
        <w:rPr>
          <w:rFonts w:asciiTheme="majorHAnsi" w:hAnsiTheme="majorHAnsi" w:cs="Times New Roman"/>
          <w:b/>
          <w:bCs/>
          <w:iCs/>
          <w:color w:val="000000"/>
          <w:u w:val="single"/>
          <w:lang w:val="en-US"/>
        </w:rPr>
        <w:t xml:space="preserve"> à SARS-CoV-2 (COVID19)</w:t>
      </w:r>
    </w:p>
    <w:p w14:paraId="1809FA19" w14:textId="2433418C" w:rsidR="0057392A" w:rsidRPr="00D1008A" w:rsidRDefault="0057392A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color w:val="000000"/>
        </w:rPr>
      </w:pPr>
      <w:r w:rsidRPr="00D1008A">
        <w:rPr>
          <w:rFonts w:asciiTheme="majorHAnsi" w:hAnsiTheme="majorHAnsi" w:cs="Times New Roman"/>
          <w:b/>
          <w:bCs/>
          <w:iCs/>
          <w:color w:val="000000"/>
        </w:rPr>
        <w:t>L’objectif principal</w:t>
      </w:r>
      <w:r w:rsidRPr="00D1008A">
        <w:rPr>
          <w:rFonts w:asciiTheme="majorHAnsi" w:hAnsiTheme="majorHAnsi" w:cs="Times New Roman"/>
          <w:iCs/>
          <w:color w:val="000000"/>
        </w:rPr>
        <w:t> de ce travail est de colliger les</w:t>
      </w:r>
      <w:r w:rsidR="005F7406" w:rsidRPr="00D1008A">
        <w:rPr>
          <w:rFonts w:asciiTheme="majorHAnsi" w:hAnsiTheme="majorHAnsi" w:cs="Times New Roman"/>
          <w:iCs/>
          <w:color w:val="000000"/>
        </w:rPr>
        <w:t xml:space="preserve"> cas rapportés en France de</w:t>
      </w:r>
      <w:r w:rsidRPr="00D1008A">
        <w:rPr>
          <w:rFonts w:asciiTheme="majorHAnsi" w:hAnsiTheme="majorHAnsi" w:cs="Times New Roman"/>
          <w:iCs/>
          <w:color w:val="000000"/>
        </w:rPr>
        <w:t xml:space="preserve"> manifestations rhu</w:t>
      </w:r>
      <w:r w:rsidR="004422C4" w:rsidRPr="00D1008A">
        <w:rPr>
          <w:rFonts w:asciiTheme="majorHAnsi" w:hAnsiTheme="majorHAnsi" w:cs="Times New Roman"/>
          <w:iCs/>
          <w:color w:val="000000"/>
        </w:rPr>
        <w:t>matologiques du COVID, survenues</w:t>
      </w:r>
      <w:r w:rsidRPr="00D1008A">
        <w:rPr>
          <w:rFonts w:asciiTheme="majorHAnsi" w:hAnsiTheme="majorHAnsi" w:cs="Times New Roman"/>
          <w:iCs/>
          <w:color w:val="000000"/>
        </w:rPr>
        <w:t xml:space="preserve"> pendant ou au décours de l’épisode infectieux.</w:t>
      </w:r>
      <w:r w:rsidRPr="00D1008A">
        <w:rPr>
          <w:rFonts w:asciiTheme="majorHAnsi" w:hAnsiTheme="majorHAnsi" w:cs="Times New Roman"/>
          <w:iCs/>
          <w:color w:val="000000"/>
        </w:rPr>
        <w:br/>
        <w:t xml:space="preserve">Les objectifs secondaires seront de </w:t>
      </w:r>
      <w:r w:rsidR="00656CA7">
        <w:rPr>
          <w:rFonts w:asciiTheme="majorHAnsi" w:hAnsiTheme="majorHAnsi" w:cs="Times New Roman"/>
          <w:iCs/>
          <w:color w:val="000000"/>
        </w:rPr>
        <w:t>comprendre l’</w:t>
      </w:r>
      <w:r w:rsidRPr="00D1008A">
        <w:rPr>
          <w:rFonts w:asciiTheme="majorHAnsi" w:hAnsiTheme="majorHAnsi" w:cs="Times New Roman"/>
          <w:iCs/>
          <w:color w:val="000000"/>
        </w:rPr>
        <w:t>épidémiologie de l’atteinte rhumatologique post virale, et de rassembler la prise en charge thérapeutique de ces manifestations rhumatologiques.</w:t>
      </w:r>
    </w:p>
    <w:p w14:paraId="65AE0A20" w14:textId="1557C5CD" w:rsidR="00154455" w:rsidRDefault="0057392A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 w:rsidRPr="00D1008A">
        <w:rPr>
          <w:rFonts w:asciiTheme="majorHAnsi" w:hAnsiTheme="majorHAnsi" w:cs="Times New Roman"/>
          <w:b/>
          <w:bCs/>
          <w:iCs/>
          <w:color w:val="000000"/>
        </w:rPr>
        <w:t>Rationnel. </w:t>
      </w:r>
      <w:r w:rsidRPr="00D1008A">
        <w:rPr>
          <w:rFonts w:asciiTheme="majorHAnsi" w:hAnsiTheme="majorHAnsi" w:cs="Times New Roman"/>
          <w:bCs/>
          <w:iCs/>
          <w:color w:val="000000"/>
        </w:rPr>
        <w:t>L’infection par SARS-CoV-2 entraîne</w:t>
      </w:r>
      <w:r w:rsidR="00D1008A" w:rsidRPr="00D1008A">
        <w:rPr>
          <w:rFonts w:asciiTheme="majorHAnsi" w:hAnsiTheme="majorHAnsi" w:cs="Times New Roman"/>
          <w:bCs/>
          <w:iCs/>
          <w:color w:val="000000"/>
        </w:rPr>
        <w:t xml:space="preserve"> une</w:t>
      </w:r>
      <w:r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r w:rsidR="005F7406" w:rsidRPr="00D1008A">
        <w:rPr>
          <w:rFonts w:asciiTheme="majorHAnsi" w:hAnsiTheme="majorHAnsi" w:cs="Times New Roman"/>
          <w:b/>
          <w:bCs/>
          <w:iCs/>
          <w:color w:val="000000"/>
        </w:rPr>
        <w:t>dysrégulation</w:t>
      </w:r>
      <w:proofErr w:type="spellEnd"/>
      <w:r w:rsidR="005F7406" w:rsidRPr="00D1008A">
        <w:rPr>
          <w:rFonts w:asciiTheme="majorHAnsi" w:hAnsiTheme="majorHAnsi" w:cs="Times New Roman"/>
          <w:b/>
          <w:bCs/>
          <w:iCs/>
          <w:color w:val="000000"/>
        </w:rPr>
        <w:t xml:space="preserve"> du système immuni</w:t>
      </w:r>
      <w:r w:rsidR="004422C4" w:rsidRPr="00D1008A">
        <w:rPr>
          <w:rFonts w:asciiTheme="majorHAnsi" w:hAnsiTheme="majorHAnsi" w:cs="Times New Roman"/>
          <w:b/>
          <w:bCs/>
          <w:iCs/>
          <w:color w:val="000000"/>
        </w:rPr>
        <w:t>t</w:t>
      </w:r>
      <w:r w:rsidR="005F7406" w:rsidRPr="00D1008A">
        <w:rPr>
          <w:rFonts w:asciiTheme="majorHAnsi" w:hAnsiTheme="majorHAnsi" w:cs="Times New Roman"/>
          <w:b/>
          <w:bCs/>
          <w:iCs/>
          <w:color w:val="000000"/>
        </w:rPr>
        <w:t>ai</w:t>
      </w:r>
      <w:r w:rsidR="004422C4" w:rsidRPr="00D1008A">
        <w:rPr>
          <w:rFonts w:asciiTheme="majorHAnsi" w:hAnsiTheme="majorHAnsi" w:cs="Times New Roman"/>
          <w:b/>
          <w:bCs/>
          <w:iCs/>
          <w:color w:val="000000"/>
        </w:rPr>
        <w:t>re</w:t>
      </w:r>
      <w:r w:rsidRPr="00D1008A">
        <w:rPr>
          <w:rFonts w:asciiTheme="majorHAnsi" w:hAnsiTheme="majorHAnsi" w:cs="Times New Roman"/>
          <w:bCs/>
          <w:iCs/>
          <w:color w:val="000000"/>
        </w:rPr>
        <w:t>.</w:t>
      </w:r>
      <w:r w:rsidR="00644169">
        <w:rPr>
          <w:rStyle w:val="Marquenotebasdepage"/>
          <w:rFonts w:asciiTheme="majorHAnsi" w:hAnsiTheme="majorHAnsi" w:cs="Times New Roman"/>
          <w:bCs/>
          <w:iCs/>
          <w:color w:val="000000"/>
        </w:rPr>
        <w:footnoteReference w:id="1"/>
      </w:r>
      <w:r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4A76B1" w:rsidRPr="00D1008A">
        <w:rPr>
          <w:rFonts w:asciiTheme="majorHAnsi" w:hAnsiTheme="majorHAnsi" w:cs="Times New Roman"/>
          <w:bCs/>
          <w:iCs/>
          <w:color w:val="000000"/>
        </w:rPr>
        <w:t xml:space="preserve">Après une infection de cellules cibles dont les cellules exprimant ACE2, la réplication virale induit un </w:t>
      </w:r>
      <w:r w:rsidR="004A76B1" w:rsidRPr="00D1008A">
        <w:rPr>
          <w:rFonts w:asciiTheme="majorHAnsi" w:hAnsiTheme="majorHAnsi" w:cs="Times New Roman"/>
          <w:b/>
          <w:bCs/>
          <w:iCs/>
          <w:color w:val="000000"/>
        </w:rPr>
        <w:t>influx de neutrophiles et monocytes/macrophages</w:t>
      </w:r>
      <w:r w:rsidR="004A76B1" w:rsidRPr="00D1008A">
        <w:rPr>
          <w:rFonts w:asciiTheme="majorHAnsi" w:hAnsiTheme="majorHAnsi" w:cs="Times New Roman"/>
          <w:bCs/>
          <w:iCs/>
          <w:color w:val="000000"/>
        </w:rPr>
        <w:t>. Cet influx déclenche</w:t>
      </w:r>
      <w:r w:rsidR="00A729B1" w:rsidRPr="00D1008A">
        <w:rPr>
          <w:rFonts w:asciiTheme="majorHAnsi" w:hAnsiTheme="majorHAnsi" w:cs="Times New Roman"/>
          <w:bCs/>
          <w:iCs/>
          <w:color w:val="000000"/>
        </w:rPr>
        <w:t xml:space="preserve"> une </w:t>
      </w:r>
      <w:r w:rsidR="00A729B1" w:rsidRPr="00D1008A">
        <w:rPr>
          <w:rFonts w:asciiTheme="majorHAnsi" w:hAnsiTheme="majorHAnsi" w:cs="Times New Roman"/>
          <w:b/>
          <w:bCs/>
          <w:iCs/>
          <w:color w:val="000000"/>
        </w:rPr>
        <w:t>hyperproduction de cytokines pro-inflammatoires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(IL6, TNF </w:t>
      </w:r>
      <w:r w:rsidR="00356D1E" w:rsidRPr="00D1008A">
        <w:rPr>
          <w:rFonts w:asciiTheme="majorHAnsi" w:hAnsiTheme="majorHAnsi"/>
        </w:rPr>
        <w:t>α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, IL12, </w:t>
      </w:r>
      <w:proofErr w:type="gramStart"/>
      <w:r w:rsidR="005F7406" w:rsidRPr="00D1008A">
        <w:rPr>
          <w:rFonts w:asciiTheme="majorHAnsi" w:hAnsiTheme="majorHAnsi" w:cs="Times New Roman"/>
          <w:bCs/>
          <w:iCs/>
          <w:color w:val="000000"/>
        </w:rPr>
        <w:t>IL8…)</w:t>
      </w:r>
      <w:proofErr w:type="gramEnd"/>
      <w:r w:rsidR="00A729B1" w:rsidRPr="00D1008A">
        <w:rPr>
          <w:rFonts w:asciiTheme="majorHAnsi" w:hAnsiTheme="majorHAnsi" w:cs="Times New Roman"/>
          <w:bCs/>
          <w:iCs/>
          <w:color w:val="000000"/>
        </w:rPr>
        <w:t>, responsable de l’ « </w:t>
      </w:r>
      <w:r w:rsidR="00A729B1" w:rsidRPr="00D1008A">
        <w:rPr>
          <w:rFonts w:asciiTheme="majorHAnsi" w:hAnsiTheme="majorHAnsi" w:cs="Times New Roman"/>
          <w:b/>
          <w:bCs/>
          <w:iCs/>
          <w:color w:val="000000"/>
        </w:rPr>
        <w:t xml:space="preserve">orage </w:t>
      </w:r>
      <w:proofErr w:type="spellStart"/>
      <w:r w:rsidR="00A729B1" w:rsidRPr="00D1008A">
        <w:rPr>
          <w:rFonts w:asciiTheme="majorHAnsi" w:hAnsiTheme="majorHAnsi" w:cs="Times New Roman"/>
          <w:b/>
          <w:bCs/>
          <w:iCs/>
          <w:color w:val="000000"/>
        </w:rPr>
        <w:t>cytokinique</w:t>
      </w:r>
      <w:proofErr w:type="spellEnd"/>
      <w:r w:rsidR="00A729B1" w:rsidRPr="00D1008A">
        <w:rPr>
          <w:rFonts w:asciiTheme="majorHAnsi" w:hAnsiTheme="majorHAnsi" w:cs="Times New Roman"/>
          <w:b/>
          <w:bCs/>
          <w:iCs/>
          <w:color w:val="000000"/>
        </w:rPr>
        <w:t> </w:t>
      </w:r>
      <w:r w:rsidR="00A729B1" w:rsidRPr="00D1008A">
        <w:rPr>
          <w:rFonts w:asciiTheme="majorHAnsi" w:hAnsiTheme="majorHAnsi" w:cs="Times New Roman"/>
          <w:bCs/>
          <w:iCs/>
          <w:color w:val="000000"/>
        </w:rPr>
        <w:t>»</w:t>
      </w:r>
      <w:r w:rsidR="004422C4" w:rsidRPr="00D1008A">
        <w:rPr>
          <w:rFonts w:asciiTheme="majorHAnsi" w:hAnsiTheme="majorHAnsi" w:cs="Times New Roman"/>
          <w:bCs/>
          <w:iCs/>
          <w:color w:val="000000"/>
        </w:rPr>
        <w:t xml:space="preserve"> observé</w:t>
      </w:r>
      <w:r w:rsidR="00A729B1" w:rsidRPr="00D1008A">
        <w:rPr>
          <w:rFonts w:asciiTheme="majorHAnsi" w:hAnsiTheme="majorHAnsi" w:cs="Times New Roman"/>
          <w:bCs/>
          <w:iCs/>
          <w:color w:val="000000"/>
        </w:rPr>
        <w:t xml:space="preserve">. Les cellules spécifiques </w:t>
      </w:r>
      <w:r w:rsidR="00A729B1" w:rsidRPr="00D1008A">
        <w:rPr>
          <w:rFonts w:asciiTheme="majorHAnsi" w:hAnsiTheme="majorHAnsi" w:cs="Times New Roman"/>
          <w:b/>
          <w:bCs/>
          <w:iCs/>
          <w:color w:val="000000"/>
        </w:rPr>
        <w:t>Th1/Th17</w:t>
      </w:r>
      <w:r w:rsidR="00A729B1"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154455">
        <w:rPr>
          <w:rFonts w:asciiTheme="majorHAnsi" w:hAnsiTheme="majorHAnsi" w:cs="Times New Roman"/>
          <w:bCs/>
          <w:iCs/>
          <w:color w:val="000000"/>
        </w:rPr>
        <w:t>ainsi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F01373">
        <w:rPr>
          <w:rFonts w:asciiTheme="majorHAnsi" w:hAnsiTheme="majorHAnsi" w:cs="Times New Roman"/>
          <w:bCs/>
          <w:iCs/>
          <w:color w:val="000000"/>
        </w:rPr>
        <w:t xml:space="preserve">activées </w:t>
      </w:r>
      <w:r w:rsidR="00A729B1" w:rsidRPr="00D1008A">
        <w:rPr>
          <w:rFonts w:asciiTheme="majorHAnsi" w:hAnsiTheme="majorHAnsi" w:cs="Times New Roman"/>
          <w:bCs/>
          <w:iCs/>
          <w:color w:val="000000"/>
        </w:rPr>
        <w:t xml:space="preserve">contribuent à exacerber les réponses inflammatoires. </w:t>
      </w:r>
      <w:r w:rsidR="004422C4" w:rsidRPr="00D1008A">
        <w:rPr>
          <w:rFonts w:asciiTheme="majorHAnsi" w:hAnsiTheme="majorHAnsi" w:cs="Times New Roman"/>
          <w:bCs/>
          <w:iCs/>
          <w:color w:val="000000"/>
        </w:rPr>
        <w:t xml:space="preserve">Il a été observé chez les patients atteints par le COVID une </w:t>
      </w:r>
      <w:r w:rsidR="004422C4" w:rsidRPr="00D1008A">
        <w:rPr>
          <w:rFonts w:asciiTheme="majorHAnsi" w:hAnsiTheme="majorHAnsi" w:cs="Times New Roman"/>
          <w:b/>
          <w:bCs/>
          <w:iCs/>
          <w:color w:val="000000"/>
        </w:rPr>
        <w:t>lymphopénie CD4/CD8 et NK</w:t>
      </w:r>
      <w:r w:rsidR="004422C4" w:rsidRPr="00D1008A">
        <w:rPr>
          <w:rFonts w:asciiTheme="majorHAnsi" w:hAnsiTheme="majorHAnsi" w:cs="Times New Roman"/>
          <w:bCs/>
          <w:iCs/>
          <w:color w:val="000000"/>
        </w:rPr>
        <w:t xml:space="preserve">, ainsi qu’une </w:t>
      </w:r>
      <w:r w:rsidR="004422C4" w:rsidRPr="00D1008A">
        <w:rPr>
          <w:rFonts w:asciiTheme="majorHAnsi" w:hAnsiTheme="majorHAnsi" w:cs="Times New Roman"/>
          <w:b/>
          <w:bCs/>
          <w:iCs/>
          <w:color w:val="000000"/>
        </w:rPr>
        <w:t>destruction des organes lymphoïdes</w:t>
      </w:r>
      <w:r w:rsidR="004422C4" w:rsidRPr="00D1008A">
        <w:rPr>
          <w:rFonts w:asciiTheme="majorHAnsi" w:hAnsiTheme="majorHAnsi" w:cs="Times New Roman"/>
          <w:bCs/>
          <w:iCs/>
          <w:color w:val="000000"/>
        </w:rPr>
        <w:t xml:space="preserve">. 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>Enfin, des lésions de « vascularite-</w:t>
      </w:r>
      <w:proofErr w:type="spellStart"/>
      <w:r w:rsidR="005F7406" w:rsidRPr="00D1008A">
        <w:rPr>
          <w:rFonts w:asciiTheme="majorHAnsi" w:hAnsiTheme="majorHAnsi" w:cs="Times New Roman"/>
          <w:bCs/>
          <w:iCs/>
          <w:color w:val="000000"/>
        </w:rPr>
        <w:t>like</w:t>
      </w:r>
      <w:proofErr w:type="spellEnd"/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 » ont été observées, avec un état d’hypercoagulabilité. </w:t>
      </w:r>
      <w:r w:rsidR="00F01373">
        <w:rPr>
          <w:rFonts w:asciiTheme="majorHAnsi" w:hAnsiTheme="majorHAnsi" w:cs="Times New Roman"/>
          <w:bCs/>
          <w:iCs/>
          <w:color w:val="000000"/>
        </w:rPr>
        <w:t xml:space="preserve">L’infection par le COVID a donc </w:t>
      </w:r>
      <w:r w:rsidR="00154455">
        <w:rPr>
          <w:rFonts w:asciiTheme="majorHAnsi" w:hAnsiTheme="majorHAnsi" w:cs="Times New Roman"/>
          <w:bCs/>
          <w:iCs/>
          <w:color w:val="000000"/>
        </w:rPr>
        <w:t xml:space="preserve">en partie des </w:t>
      </w:r>
      <w:r w:rsidR="00F01373">
        <w:rPr>
          <w:rFonts w:asciiTheme="majorHAnsi" w:hAnsiTheme="majorHAnsi" w:cs="Times New Roman"/>
          <w:bCs/>
          <w:iCs/>
          <w:color w:val="000000"/>
        </w:rPr>
        <w:t>caractéristiques d’une maladie inflammatoire</w:t>
      </w:r>
      <w:r w:rsidR="00154455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r w:rsidR="00154455">
        <w:rPr>
          <w:rFonts w:asciiTheme="majorHAnsi" w:hAnsiTheme="majorHAnsi" w:cs="Times New Roman"/>
          <w:bCs/>
          <w:iCs/>
          <w:color w:val="000000"/>
        </w:rPr>
        <w:t>dysimmunitaire</w:t>
      </w:r>
      <w:proofErr w:type="spellEnd"/>
      <w:r w:rsidR="00F01373">
        <w:rPr>
          <w:rFonts w:asciiTheme="majorHAnsi" w:hAnsiTheme="majorHAnsi" w:cs="Times New Roman"/>
          <w:bCs/>
          <w:iCs/>
          <w:color w:val="000000"/>
        </w:rPr>
        <w:t>.</w:t>
      </w:r>
    </w:p>
    <w:p w14:paraId="05B08AED" w14:textId="424A7A68" w:rsidR="00154455" w:rsidRDefault="00154455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  <w:bCs/>
          <w:iCs/>
          <w:color w:val="000000"/>
        </w:rPr>
        <w:t>N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>ous retrouvons</w:t>
      </w:r>
      <w:r>
        <w:rPr>
          <w:rFonts w:asciiTheme="majorHAnsi" w:hAnsiTheme="majorHAnsi" w:cs="Times New Roman"/>
          <w:bCs/>
          <w:iCs/>
          <w:color w:val="000000"/>
        </w:rPr>
        <w:t xml:space="preserve"> aussi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des </w:t>
      </w:r>
      <w:r w:rsidR="005F7406" w:rsidRPr="00D1008A">
        <w:rPr>
          <w:rFonts w:asciiTheme="majorHAnsi" w:hAnsiTheme="majorHAnsi" w:cs="Times New Roman"/>
          <w:b/>
          <w:bCs/>
          <w:iCs/>
          <w:color w:val="000000"/>
        </w:rPr>
        <w:t>similitudes avec la pathogénèse des maladies i</w:t>
      </w:r>
      <w:r w:rsidR="00356D1E" w:rsidRPr="00D1008A">
        <w:rPr>
          <w:rFonts w:asciiTheme="majorHAnsi" w:hAnsiTheme="majorHAnsi" w:cs="Times New Roman"/>
          <w:b/>
          <w:bCs/>
          <w:iCs/>
          <w:color w:val="000000"/>
        </w:rPr>
        <w:t>nflammatoires rhumatologiques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. Par exemple, l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>a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 genèse de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polyarthrite rhumatoïde</w:t>
      </w:r>
      <w:r w:rsidR="00644169">
        <w:rPr>
          <w:rStyle w:val="Marquenotebasdepage"/>
          <w:rFonts w:asciiTheme="majorHAnsi" w:hAnsiTheme="majorHAnsi" w:cs="Times New Roman"/>
          <w:bCs/>
          <w:iCs/>
          <w:color w:val="000000"/>
        </w:rPr>
        <w:footnoteReference w:id="2"/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met en jeu un dysfonctionnement</w:t>
      </w:r>
      <w:r w:rsidR="005F7406" w:rsidRPr="00D1008A">
        <w:rPr>
          <w:rFonts w:asciiTheme="majorHAnsi" w:hAnsiTheme="majorHAnsi" w:cs="Times New Roman"/>
          <w:bCs/>
          <w:iCs/>
          <w:color w:val="000000"/>
        </w:rPr>
        <w:t xml:space="preserve"> du 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système immunitaire acquis, ainsi qu’une </w:t>
      </w:r>
      <w:proofErr w:type="spellStart"/>
      <w:r w:rsidR="00356D1E" w:rsidRPr="00D1008A">
        <w:rPr>
          <w:rFonts w:asciiTheme="majorHAnsi" w:hAnsiTheme="majorHAnsi" w:cs="Times New Roman"/>
          <w:bCs/>
          <w:iCs/>
          <w:color w:val="000000"/>
        </w:rPr>
        <w:t>dysrégulation</w:t>
      </w:r>
      <w:proofErr w:type="spellEnd"/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 de l’immunité innée : une grande variété de macrophages, mastocytes, cellules NK sont retrouvés dans la membrane synoviale et des neutrophiles dans le liquide synovial. </w:t>
      </w:r>
      <w:r>
        <w:rPr>
          <w:rFonts w:asciiTheme="majorHAnsi" w:hAnsiTheme="majorHAnsi" w:cs="Times New Roman"/>
          <w:bCs/>
          <w:iCs/>
          <w:color w:val="000000"/>
        </w:rPr>
        <w:t xml:space="preserve">La genèse des </w:t>
      </w:r>
      <w:proofErr w:type="spellStart"/>
      <w:r w:rsidR="00DE6CB5">
        <w:rPr>
          <w:rFonts w:asciiTheme="majorHAnsi" w:hAnsiTheme="majorHAnsi" w:cs="Times New Roman"/>
          <w:bCs/>
          <w:iCs/>
          <w:color w:val="000000"/>
        </w:rPr>
        <w:t>s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pondyl</w:t>
      </w:r>
      <w:r w:rsidR="00DE6CB5">
        <w:rPr>
          <w:rFonts w:asciiTheme="majorHAnsi" w:hAnsiTheme="majorHAnsi" w:cs="Times New Roman"/>
          <w:bCs/>
          <w:iCs/>
          <w:color w:val="000000"/>
        </w:rPr>
        <w:t>o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arth</w:t>
      </w:r>
      <w:r w:rsidR="00DE6CB5">
        <w:rPr>
          <w:rFonts w:asciiTheme="majorHAnsi" w:hAnsiTheme="majorHAnsi" w:cs="Times New Roman"/>
          <w:bCs/>
          <w:iCs/>
          <w:color w:val="000000"/>
        </w:rPr>
        <w:t>rites</w:t>
      </w:r>
      <w:proofErr w:type="spellEnd"/>
      <w:r w:rsidR="00DE6CB5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F01373">
        <w:rPr>
          <w:rStyle w:val="Marquenotebasdepage"/>
          <w:rFonts w:asciiTheme="majorHAnsi" w:hAnsiTheme="majorHAnsi" w:cs="Times New Roman"/>
          <w:bCs/>
          <w:iCs/>
          <w:color w:val="000000"/>
        </w:rPr>
        <w:footnoteReference w:id="3"/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, </w:t>
      </w:r>
      <w:r>
        <w:rPr>
          <w:rFonts w:asciiTheme="majorHAnsi" w:hAnsiTheme="majorHAnsi" w:cs="Times New Roman"/>
          <w:bCs/>
          <w:iCs/>
          <w:color w:val="000000"/>
        </w:rPr>
        <w:t xml:space="preserve">repose </w:t>
      </w:r>
      <w:r w:rsidR="00DE6CB5">
        <w:rPr>
          <w:rFonts w:asciiTheme="majorHAnsi" w:hAnsiTheme="majorHAnsi" w:cs="Times New Roman"/>
          <w:bCs/>
          <w:iCs/>
          <w:color w:val="000000"/>
        </w:rPr>
        <w:t>davantage</w:t>
      </w:r>
      <w:r>
        <w:rPr>
          <w:rFonts w:asciiTheme="majorHAnsi" w:hAnsiTheme="majorHAnsi" w:cs="Times New Roman"/>
          <w:bCs/>
          <w:iCs/>
          <w:color w:val="000000"/>
        </w:rPr>
        <w:t xml:space="preserve"> sur 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une dysfonction du système IL23-IL17, qui augmente la production de cytokines </w:t>
      </w:r>
      <w:r w:rsidR="00DE6CB5" w:rsidRPr="00D1008A">
        <w:rPr>
          <w:rFonts w:asciiTheme="majorHAnsi" w:hAnsiTheme="majorHAnsi" w:cs="Times New Roman"/>
          <w:bCs/>
          <w:iCs/>
          <w:color w:val="000000"/>
        </w:rPr>
        <w:t>pro</w:t>
      </w:r>
      <w:r w:rsidR="00DE6CB5">
        <w:rPr>
          <w:rFonts w:asciiTheme="majorHAnsi" w:hAnsiTheme="majorHAnsi" w:cs="Times New Roman"/>
          <w:bCs/>
          <w:iCs/>
          <w:color w:val="000000"/>
        </w:rPr>
        <w:t>-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inflammatoires. </w:t>
      </w:r>
      <w:r>
        <w:rPr>
          <w:rFonts w:asciiTheme="majorHAnsi" w:hAnsiTheme="majorHAnsi" w:cs="Times New Roman"/>
          <w:bCs/>
          <w:iCs/>
          <w:color w:val="000000"/>
        </w:rPr>
        <w:t xml:space="preserve"> Au cours de l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a pseudopolyarthrite </w:t>
      </w:r>
      <w:proofErr w:type="spellStart"/>
      <w:r w:rsidR="00356D1E" w:rsidRPr="00D1008A">
        <w:rPr>
          <w:rFonts w:asciiTheme="majorHAnsi" w:hAnsiTheme="majorHAnsi" w:cs="Times New Roman"/>
          <w:bCs/>
          <w:iCs/>
          <w:color w:val="000000"/>
        </w:rPr>
        <w:t>rhizomélique</w:t>
      </w:r>
      <w:proofErr w:type="spellEnd"/>
      <w:r w:rsidR="00F01373">
        <w:rPr>
          <w:rStyle w:val="Marquenotebasdepage"/>
          <w:rFonts w:asciiTheme="majorHAnsi" w:hAnsiTheme="majorHAnsi" w:cs="Times New Roman"/>
          <w:bCs/>
          <w:iCs/>
          <w:color w:val="000000"/>
        </w:rPr>
        <w:footnoteReference w:id="4"/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, des cellules dendritiques ou macrophages activés sécrètent des médiateurs inflammatoires, dont </w:t>
      </w:r>
      <w:r w:rsidR="00DE6CB5">
        <w:rPr>
          <w:rFonts w:asciiTheme="majorHAnsi" w:hAnsiTheme="majorHAnsi" w:cs="Times New Roman"/>
          <w:bCs/>
          <w:iCs/>
          <w:color w:val="000000"/>
        </w:rPr>
        <w:t>l’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IL1, </w:t>
      </w:r>
      <w:r w:rsidR="00DE6CB5">
        <w:rPr>
          <w:rFonts w:asciiTheme="majorHAnsi" w:hAnsiTheme="majorHAnsi" w:cs="Times New Roman"/>
          <w:bCs/>
          <w:iCs/>
          <w:color w:val="000000"/>
        </w:rPr>
        <w:t>l’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I</w:t>
      </w:r>
      <w:r w:rsidR="00DE6CB5">
        <w:rPr>
          <w:rFonts w:asciiTheme="majorHAnsi" w:hAnsiTheme="majorHAnsi" w:cs="Times New Roman"/>
          <w:bCs/>
          <w:iCs/>
          <w:color w:val="000000"/>
        </w:rPr>
        <w:t>L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>6 et</w:t>
      </w:r>
      <w:r w:rsidR="00DE6CB5">
        <w:rPr>
          <w:rFonts w:asciiTheme="majorHAnsi" w:hAnsiTheme="majorHAnsi" w:cs="Times New Roman"/>
          <w:bCs/>
          <w:iCs/>
          <w:color w:val="000000"/>
        </w:rPr>
        <w:t xml:space="preserve"> le</w:t>
      </w:r>
      <w:r w:rsidR="00356D1E" w:rsidRPr="00D1008A">
        <w:rPr>
          <w:rFonts w:asciiTheme="majorHAnsi" w:hAnsiTheme="majorHAnsi" w:cs="Times New Roman"/>
          <w:bCs/>
          <w:iCs/>
          <w:color w:val="000000"/>
        </w:rPr>
        <w:t xml:space="preserve"> </w:t>
      </w:r>
      <w:r w:rsidR="00356D1E" w:rsidRPr="00D1008A">
        <w:rPr>
          <w:rFonts w:asciiTheme="majorHAnsi" w:hAnsiTheme="majorHAnsi"/>
        </w:rPr>
        <w:t>TNFα</w:t>
      </w:r>
      <w:r w:rsidR="00D1008A" w:rsidRPr="00D1008A">
        <w:rPr>
          <w:rFonts w:asciiTheme="majorHAnsi" w:hAnsiTheme="majorHAnsi"/>
        </w:rPr>
        <w:t xml:space="preserve">, qui seront responsables des signes systémiques de la maladie. </w:t>
      </w:r>
    </w:p>
    <w:p w14:paraId="14166196" w14:textId="67E439B0" w:rsidR="005F7406" w:rsidRDefault="00154455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>
        <w:rPr>
          <w:rFonts w:asciiTheme="majorHAnsi" w:hAnsiTheme="majorHAnsi"/>
        </w:rPr>
        <w:t>Au total</w:t>
      </w:r>
      <w:r w:rsidR="00276E2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si</w:t>
      </w:r>
      <w:r w:rsidR="00CB5F0D">
        <w:rPr>
          <w:rFonts w:asciiTheme="majorHAnsi" w:hAnsiTheme="majorHAnsi"/>
        </w:rPr>
        <w:t xml:space="preserve"> la physiopathologie de</w:t>
      </w:r>
      <w:r w:rsidR="00D1008A" w:rsidRPr="00D1008A">
        <w:rPr>
          <w:rFonts w:asciiTheme="majorHAnsi" w:hAnsiTheme="majorHAnsi"/>
        </w:rPr>
        <w:t xml:space="preserve"> l’infection par le </w:t>
      </w:r>
      <w:r w:rsidR="00D1008A" w:rsidRPr="00D1008A">
        <w:rPr>
          <w:rFonts w:asciiTheme="majorHAnsi" w:hAnsiTheme="majorHAnsi" w:cs="Times New Roman"/>
          <w:bCs/>
          <w:iCs/>
          <w:color w:val="000000"/>
        </w:rPr>
        <w:t xml:space="preserve">SARS-CoV-2 et celle des maladies inflammatoires rhumatologiques </w:t>
      </w:r>
      <w:r w:rsidR="00CB5F0D">
        <w:rPr>
          <w:rFonts w:asciiTheme="majorHAnsi" w:hAnsiTheme="majorHAnsi" w:cs="Times New Roman"/>
          <w:bCs/>
          <w:iCs/>
          <w:color w:val="000000"/>
        </w:rPr>
        <w:t>ont</w:t>
      </w:r>
      <w:r w:rsidR="00D1008A" w:rsidRPr="00D1008A">
        <w:rPr>
          <w:rFonts w:asciiTheme="majorHAnsi" w:hAnsiTheme="majorHAnsi" w:cs="Times New Roman"/>
          <w:bCs/>
          <w:iCs/>
          <w:color w:val="000000"/>
        </w:rPr>
        <w:t xml:space="preserve"> de</w:t>
      </w:r>
      <w:r>
        <w:rPr>
          <w:rFonts w:asciiTheme="majorHAnsi" w:hAnsiTheme="majorHAnsi" w:cs="Times New Roman"/>
          <w:bCs/>
          <w:iCs/>
          <w:color w:val="000000"/>
        </w:rPr>
        <w:t xml:space="preserve"> telle</w:t>
      </w:r>
      <w:r w:rsidR="00D1008A" w:rsidRPr="00D1008A">
        <w:rPr>
          <w:rFonts w:asciiTheme="majorHAnsi" w:hAnsiTheme="majorHAnsi" w:cs="Times New Roman"/>
          <w:bCs/>
          <w:iCs/>
          <w:color w:val="000000"/>
        </w:rPr>
        <w:t>s similarités, il semble important de savoir si certains patients ayant contracté le COVID ont développé</w:t>
      </w:r>
      <w:r w:rsidR="00CB5F0D">
        <w:rPr>
          <w:rFonts w:asciiTheme="majorHAnsi" w:hAnsiTheme="majorHAnsi" w:cs="Times New Roman"/>
          <w:bCs/>
          <w:iCs/>
          <w:color w:val="000000"/>
        </w:rPr>
        <w:t xml:space="preserve"> du fait de </w:t>
      </w:r>
      <w:r>
        <w:rPr>
          <w:rFonts w:asciiTheme="majorHAnsi" w:hAnsiTheme="majorHAnsi" w:cs="Times New Roman"/>
          <w:bCs/>
          <w:iCs/>
          <w:color w:val="000000"/>
        </w:rPr>
        <w:t xml:space="preserve">l’altération </w:t>
      </w:r>
      <w:r w:rsidR="00CB5F0D">
        <w:rPr>
          <w:rFonts w:asciiTheme="majorHAnsi" w:hAnsiTheme="majorHAnsi" w:cs="Times New Roman"/>
          <w:bCs/>
          <w:iCs/>
          <w:color w:val="000000"/>
        </w:rPr>
        <w:t xml:space="preserve">du système immunitaire engendrée, </w:t>
      </w:r>
      <w:r w:rsidR="00D1008A" w:rsidRPr="00D1008A">
        <w:rPr>
          <w:rFonts w:asciiTheme="majorHAnsi" w:hAnsiTheme="majorHAnsi" w:cs="Times New Roman"/>
          <w:bCs/>
          <w:iCs/>
          <w:color w:val="000000"/>
        </w:rPr>
        <w:t xml:space="preserve"> des maladies rhumatologiques dans les suites.</w:t>
      </w:r>
    </w:p>
    <w:p w14:paraId="70130458" w14:textId="5C37E0E4" w:rsidR="00D1008A" w:rsidRDefault="00D1008A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 w:rsidRPr="00D1008A">
        <w:rPr>
          <w:rFonts w:asciiTheme="majorHAnsi" w:hAnsiTheme="majorHAnsi" w:cs="Times New Roman"/>
          <w:b/>
          <w:bCs/>
          <w:iCs/>
          <w:color w:val="000000"/>
        </w:rPr>
        <w:t>Méthodologie</w:t>
      </w:r>
      <w:r>
        <w:rPr>
          <w:rFonts w:asciiTheme="majorHAnsi" w:hAnsiTheme="majorHAnsi" w:cs="Times New Roman"/>
          <w:bCs/>
          <w:iCs/>
          <w:color w:val="000000"/>
        </w:rPr>
        <w:t xml:space="preserve"> : Nous souhaitons colliger les cas de maladies rhumatologiques </w:t>
      </w:r>
      <w:r w:rsidR="00656CA7">
        <w:rPr>
          <w:rFonts w:asciiTheme="majorHAnsi" w:hAnsiTheme="majorHAnsi" w:cs="Times New Roman"/>
          <w:bCs/>
          <w:iCs/>
          <w:color w:val="000000"/>
        </w:rPr>
        <w:t xml:space="preserve">inflammatoires </w:t>
      </w:r>
      <w:bookmarkStart w:id="0" w:name="_GoBack"/>
      <w:bookmarkEnd w:id="0"/>
      <w:r>
        <w:rPr>
          <w:rFonts w:asciiTheme="majorHAnsi" w:hAnsiTheme="majorHAnsi" w:cs="Times New Roman"/>
          <w:bCs/>
          <w:iCs/>
          <w:color w:val="000000"/>
        </w:rPr>
        <w:t xml:space="preserve">développées </w:t>
      </w:r>
      <w:r w:rsidR="00336845" w:rsidRPr="007B263E">
        <w:rPr>
          <w:rFonts w:asciiTheme="majorHAnsi" w:hAnsiTheme="majorHAnsi" w:cs="Times New Roman"/>
          <w:bCs/>
          <w:i/>
          <w:iCs/>
          <w:color w:val="000000"/>
        </w:rPr>
        <w:t>de novo</w:t>
      </w:r>
      <w:r w:rsidR="00336845">
        <w:rPr>
          <w:rFonts w:asciiTheme="majorHAnsi" w:hAnsiTheme="majorHAnsi" w:cs="Times New Roman"/>
          <w:bCs/>
          <w:iCs/>
          <w:color w:val="000000"/>
        </w:rPr>
        <w:t xml:space="preserve"> </w:t>
      </w:r>
      <w:r>
        <w:rPr>
          <w:rFonts w:asciiTheme="majorHAnsi" w:hAnsiTheme="majorHAnsi" w:cs="Times New Roman"/>
          <w:bCs/>
          <w:iCs/>
          <w:color w:val="000000"/>
        </w:rPr>
        <w:t>au décours de l’infection par SARS-CoV-2</w:t>
      </w:r>
      <w:r w:rsidR="00656CA7">
        <w:rPr>
          <w:rFonts w:asciiTheme="majorHAnsi" w:hAnsiTheme="majorHAnsi" w:cs="Times New Roman"/>
          <w:bCs/>
          <w:iCs/>
          <w:color w:val="000000"/>
        </w:rPr>
        <w:t xml:space="preserve">. Les cas seront signalés à Marine </w:t>
      </w:r>
      <w:proofErr w:type="spellStart"/>
      <w:r w:rsidR="00656CA7">
        <w:rPr>
          <w:rFonts w:asciiTheme="majorHAnsi" w:hAnsiTheme="majorHAnsi" w:cs="Times New Roman"/>
          <w:bCs/>
          <w:iCs/>
          <w:color w:val="000000"/>
        </w:rPr>
        <w:t>Sarfati</w:t>
      </w:r>
      <w:proofErr w:type="spellEnd"/>
      <w:r w:rsidR="00656CA7">
        <w:rPr>
          <w:rFonts w:asciiTheme="majorHAnsi" w:hAnsiTheme="majorHAnsi" w:cs="Times New Roman"/>
          <w:bCs/>
          <w:iCs/>
          <w:color w:val="000000"/>
        </w:rPr>
        <w:t xml:space="preserve">, </w:t>
      </w:r>
      <w:r w:rsidR="00DE6CB5">
        <w:rPr>
          <w:rFonts w:asciiTheme="majorHAnsi" w:hAnsiTheme="majorHAnsi" w:cs="Times New Roman"/>
          <w:bCs/>
          <w:iCs/>
          <w:color w:val="000000"/>
        </w:rPr>
        <w:t>interne en</w:t>
      </w:r>
      <w:r w:rsidR="00656CA7">
        <w:rPr>
          <w:rFonts w:asciiTheme="majorHAnsi" w:hAnsiTheme="majorHAnsi" w:cs="Times New Roman"/>
          <w:bCs/>
          <w:iCs/>
          <w:color w:val="000000"/>
        </w:rPr>
        <w:t xml:space="preserve"> rhumatologie</w:t>
      </w:r>
      <w:r w:rsidR="00DE6CB5">
        <w:rPr>
          <w:rFonts w:asciiTheme="majorHAnsi" w:hAnsiTheme="majorHAnsi" w:cs="Times New Roman"/>
          <w:bCs/>
          <w:iCs/>
          <w:color w:val="000000"/>
        </w:rPr>
        <w:t xml:space="preserve"> au CHU de Lyon</w:t>
      </w:r>
      <w:r w:rsidR="00656CA7">
        <w:rPr>
          <w:rFonts w:asciiTheme="majorHAnsi" w:hAnsiTheme="majorHAnsi" w:cs="Times New Roman"/>
          <w:bCs/>
          <w:iCs/>
          <w:color w:val="000000"/>
        </w:rPr>
        <w:t>, par une fiche d’inclusion qui permettra :</w:t>
      </w:r>
    </w:p>
    <w:p w14:paraId="24ADB1B1" w14:textId="66769DB7" w:rsidR="00656CA7" w:rsidRDefault="00656CA7" w:rsidP="00AD4D1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 w:rsidRPr="00656CA7">
        <w:rPr>
          <w:rFonts w:asciiTheme="majorHAnsi" w:hAnsiTheme="majorHAnsi" w:cs="Times New Roman"/>
          <w:bCs/>
          <w:iCs/>
          <w:color w:val="000000"/>
        </w:rPr>
        <w:lastRenderedPageBreak/>
        <w:t>de rassembler l’ensemble des symptômes des manifestations rhumatologiques inflammatoires post COVID</w:t>
      </w:r>
    </w:p>
    <w:p w14:paraId="78705175" w14:textId="46B36A55" w:rsidR="00656CA7" w:rsidRDefault="00656CA7" w:rsidP="00AD4D1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>
        <w:rPr>
          <w:rFonts w:asciiTheme="majorHAnsi" w:hAnsiTheme="majorHAnsi" w:cs="Times New Roman"/>
          <w:bCs/>
          <w:iCs/>
          <w:color w:val="000000"/>
        </w:rPr>
        <w:t>d’étudier la durée entre le début de l’infection COVID et le début des symptômes rhumatologiques</w:t>
      </w:r>
    </w:p>
    <w:p w14:paraId="771CECD6" w14:textId="53A19224" w:rsidR="00656CA7" w:rsidRDefault="00656CA7" w:rsidP="00AD4D1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>
        <w:rPr>
          <w:rFonts w:asciiTheme="majorHAnsi" w:hAnsiTheme="majorHAnsi" w:cs="Times New Roman"/>
          <w:bCs/>
          <w:iCs/>
          <w:color w:val="000000"/>
        </w:rPr>
        <w:t xml:space="preserve">de colliger l’ensemble des traitements essayés  </w:t>
      </w:r>
      <w:r w:rsidRPr="00656CA7">
        <w:rPr>
          <w:rFonts w:asciiTheme="majorHAnsi" w:hAnsiTheme="majorHAnsi" w:cs="Times New Roman"/>
          <w:bCs/>
          <w:iCs/>
          <w:color w:val="000000"/>
        </w:rPr>
        <w:t xml:space="preserve"> </w:t>
      </w:r>
    </w:p>
    <w:p w14:paraId="5FE49370" w14:textId="5EF916DD" w:rsidR="00656CA7" w:rsidRPr="00656CA7" w:rsidRDefault="00656CA7" w:rsidP="00AD4D1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>
        <w:rPr>
          <w:rFonts w:asciiTheme="majorHAnsi" w:hAnsiTheme="majorHAnsi" w:cs="Times New Roman"/>
          <w:bCs/>
          <w:iCs/>
          <w:color w:val="000000"/>
        </w:rPr>
        <w:t>de permettre un suivi adapté de ces patients</w:t>
      </w:r>
    </w:p>
    <w:p w14:paraId="5508046B" w14:textId="073C1DB9" w:rsidR="00D1008A" w:rsidRPr="00656CA7" w:rsidRDefault="00D1008A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color w:val="000000"/>
        </w:rPr>
      </w:pPr>
      <w:r w:rsidRPr="00656CA7">
        <w:rPr>
          <w:rFonts w:asciiTheme="majorHAnsi" w:hAnsiTheme="majorHAnsi" w:cs="Times New Roman"/>
          <w:iCs/>
          <w:color w:val="000000"/>
        </w:rPr>
        <w:t>Un retour au dossier du patient pourra être utile au cas par cas pour recherche d’information complémentaires, mais ne sera pas sy</w:t>
      </w:r>
      <w:r w:rsidR="00154455">
        <w:rPr>
          <w:rFonts w:asciiTheme="majorHAnsi" w:hAnsiTheme="majorHAnsi" w:cs="Times New Roman"/>
          <w:iCs/>
          <w:color w:val="000000"/>
        </w:rPr>
        <w:t>s</w:t>
      </w:r>
      <w:r w:rsidRPr="00656CA7">
        <w:rPr>
          <w:rFonts w:asciiTheme="majorHAnsi" w:hAnsiTheme="majorHAnsi" w:cs="Times New Roman"/>
          <w:iCs/>
          <w:color w:val="000000"/>
        </w:rPr>
        <w:t>tématique</w:t>
      </w:r>
    </w:p>
    <w:p w14:paraId="6B6F802A" w14:textId="66EEA2DF" w:rsidR="005F7406" w:rsidRPr="00656CA7" w:rsidRDefault="00D1008A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bCs/>
          <w:iCs/>
          <w:color w:val="000000"/>
        </w:rPr>
      </w:pPr>
      <w:r w:rsidRPr="00656CA7">
        <w:rPr>
          <w:rFonts w:asciiTheme="majorHAnsi" w:hAnsiTheme="majorHAnsi" w:cs="Times New Roman"/>
          <w:b/>
          <w:bCs/>
          <w:iCs/>
          <w:color w:val="000000"/>
        </w:rPr>
        <w:t>Retombées attendues</w:t>
      </w:r>
      <w:r w:rsidR="00656CA7">
        <w:rPr>
          <w:rFonts w:asciiTheme="majorHAnsi" w:hAnsiTheme="majorHAnsi" w:cs="Times New Roman"/>
          <w:bCs/>
          <w:iCs/>
          <w:color w:val="000000"/>
        </w:rPr>
        <w:t xml:space="preserve"> : un </w:t>
      </w:r>
      <w:r w:rsidR="00154455">
        <w:rPr>
          <w:rFonts w:asciiTheme="majorHAnsi" w:hAnsiTheme="majorHAnsi" w:cs="Times New Roman"/>
          <w:bCs/>
          <w:iCs/>
          <w:color w:val="000000"/>
        </w:rPr>
        <w:t xml:space="preserve">article </w:t>
      </w:r>
      <w:r w:rsidR="00656CA7">
        <w:rPr>
          <w:rFonts w:asciiTheme="majorHAnsi" w:hAnsiTheme="majorHAnsi" w:cs="Times New Roman"/>
          <w:bCs/>
          <w:iCs/>
          <w:color w:val="000000"/>
        </w:rPr>
        <w:t>sera rédigé par le groupe de travail et soumise à publication.</w:t>
      </w:r>
    </w:p>
    <w:p w14:paraId="2082D36A" w14:textId="77777777" w:rsidR="00656CA7" w:rsidRPr="00656CA7" w:rsidRDefault="00656CA7" w:rsidP="00AD4D1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Times New Roman"/>
          <w:i/>
          <w:iCs/>
          <w:color w:val="000000"/>
          <w:sz w:val="21"/>
          <w:szCs w:val="21"/>
        </w:rPr>
      </w:pPr>
    </w:p>
    <w:sectPr w:rsidR="00656CA7" w:rsidRPr="00656CA7" w:rsidSect="009E02C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EA849A" w15:done="0"/>
  <w15:commentEx w15:paraId="2BC3AA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1B99E" w16cid:durableId="225486D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15C3" w14:textId="77777777" w:rsidR="00381A6B" w:rsidRDefault="00381A6B" w:rsidP="00644169">
      <w:r>
        <w:separator/>
      </w:r>
    </w:p>
  </w:endnote>
  <w:endnote w:type="continuationSeparator" w:id="0">
    <w:p w14:paraId="1F3002B4" w14:textId="77777777" w:rsidR="00381A6B" w:rsidRDefault="00381A6B" w:rsidP="0064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90E4" w14:textId="77777777" w:rsidR="00381A6B" w:rsidRDefault="00381A6B" w:rsidP="00644169">
      <w:r>
        <w:separator/>
      </w:r>
    </w:p>
  </w:footnote>
  <w:footnote w:type="continuationSeparator" w:id="0">
    <w:p w14:paraId="7368F7CE" w14:textId="77777777" w:rsidR="00381A6B" w:rsidRDefault="00381A6B" w:rsidP="00644169">
      <w:r>
        <w:continuationSeparator/>
      </w:r>
    </w:p>
  </w:footnote>
  <w:footnote w:id="1">
    <w:p w14:paraId="53B37B3F" w14:textId="00470A41" w:rsidR="00F01373" w:rsidRPr="00CB5F0D" w:rsidRDefault="00F01373" w:rsidP="00CB5F0D">
      <w:pPr>
        <w:rPr>
          <w:rFonts w:asciiTheme="majorHAnsi" w:eastAsia="Times New Roman" w:hAnsiTheme="majorHAnsi" w:cs="Times New Roman"/>
          <w:sz w:val="16"/>
          <w:szCs w:val="20"/>
          <w:lang w:val="en-US"/>
        </w:rPr>
      </w:pPr>
      <w:r w:rsidRPr="00644169">
        <w:rPr>
          <w:rStyle w:val="Marquenotebasdepage"/>
          <w:rFonts w:asciiTheme="majorHAnsi" w:hAnsiTheme="majorHAnsi"/>
          <w:sz w:val="20"/>
        </w:rPr>
        <w:footnoteRef/>
      </w:r>
      <w:r w:rsidRPr="00154455">
        <w:rPr>
          <w:rFonts w:asciiTheme="majorHAnsi" w:hAnsiTheme="majorHAnsi"/>
          <w:sz w:val="20"/>
          <w:lang w:val="en-US"/>
        </w:rPr>
        <w:t xml:space="preserve"> </w:t>
      </w:r>
      <w:r w:rsidRPr="00644169">
        <w:rPr>
          <w:rFonts w:asciiTheme="majorHAnsi" w:eastAsia="Times New Roman" w:hAnsiTheme="majorHAnsi" w:cs="Times New Roman"/>
          <w:color w:val="000000"/>
          <w:sz w:val="20"/>
          <w:shd w:val="clear" w:color="auto" w:fill="FFFFFF"/>
          <w:lang w:val="en-US"/>
        </w:rPr>
        <w:t>Zhang W., Zhao Y., Zhang F., Wang Q., Li T., Liu Z. The use of anti-inflammatory drugs in the treatment of people with severe coronavirus disease 2019 (COVID-19): The Perspectives of clinical immunologists from China. </w:t>
      </w:r>
      <w:proofErr w:type="spellStart"/>
      <w:r w:rsidRPr="00644169">
        <w:rPr>
          <w:rFonts w:asciiTheme="majorHAnsi" w:eastAsia="Times New Roman" w:hAnsiTheme="majorHAnsi" w:cs="Times New Roman"/>
          <w:color w:val="000000"/>
          <w:sz w:val="20"/>
          <w:shd w:val="clear" w:color="auto" w:fill="FFFFFF"/>
          <w:lang w:val="en-US"/>
        </w:rPr>
        <w:t>Clin</w:t>
      </w:r>
      <w:proofErr w:type="spellEnd"/>
      <w:r w:rsidRPr="00644169">
        <w:rPr>
          <w:rFonts w:asciiTheme="majorHAnsi" w:eastAsia="Times New Roman" w:hAnsiTheme="majorHAnsi" w:cs="Times New Roman"/>
          <w:color w:val="000000"/>
          <w:sz w:val="20"/>
          <w:shd w:val="clear" w:color="auto" w:fill="FFFFFF"/>
          <w:lang w:val="en-US"/>
        </w:rPr>
        <w:t>. Immunol. 2020</w:t>
      </w:r>
    </w:p>
  </w:footnote>
  <w:footnote w:id="2">
    <w:p w14:paraId="1DF027F8" w14:textId="3F10BD9D" w:rsidR="00F01373" w:rsidRPr="00154455" w:rsidRDefault="00F01373">
      <w:pPr>
        <w:pStyle w:val="Notedebasdepage"/>
        <w:rPr>
          <w:rFonts w:asciiTheme="majorHAnsi" w:hAnsiTheme="majorHAnsi"/>
          <w:sz w:val="20"/>
          <w:lang w:val="en-US"/>
        </w:rPr>
      </w:pPr>
      <w:r w:rsidRPr="00644169">
        <w:rPr>
          <w:rStyle w:val="Marquenotebasdepage"/>
          <w:rFonts w:asciiTheme="majorHAnsi" w:hAnsiTheme="majorHAnsi"/>
          <w:sz w:val="20"/>
        </w:rPr>
        <w:footnoteRef/>
      </w:r>
      <w:r w:rsidRPr="00154455">
        <w:rPr>
          <w:rFonts w:asciiTheme="majorHAnsi" w:hAnsiTheme="majorHAnsi"/>
          <w:sz w:val="20"/>
          <w:lang w:val="en-US"/>
        </w:rPr>
        <w:t xml:space="preserve"> Iain B. </w:t>
      </w:r>
      <w:proofErr w:type="spellStart"/>
      <w:r w:rsidRPr="00154455">
        <w:rPr>
          <w:rFonts w:asciiTheme="majorHAnsi" w:hAnsiTheme="majorHAnsi"/>
          <w:sz w:val="20"/>
          <w:lang w:val="en-US"/>
        </w:rPr>
        <w:t>McInnes</w:t>
      </w:r>
      <w:proofErr w:type="spellEnd"/>
      <w:r w:rsidRPr="00154455">
        <w:rPr>
          <w:rFonts w:asciiTheme="majorHAnsi" w:hAnsiTheme="majorHAnsi"/>
          <w:sz w:val="20"/>
          <w:lang w:val="en-US"/>
        </w:rPr>
        <w:t xml:space="preserve">, F.R.C.P., Georg </w:t>
      </w:r>
      <w:proofErr w:type="spellStart"/>
      <w:r w:rsidRPr="00154455">
        <w:rPr>
          <w:rFonts w:asciiTheme="majorHAnsi" w:hAnsiTheme="majorHAnsi"/>
          <w:sz w:val="20"/>
          <w:lang w:val="en-US"/>
        </w:rPr>
        <w:t>Schett</w:t>
      </w:r>
      <w:proofErr w:type="spellEnd"/>
      <w:r w:rsidRPr="00154455">
        <w:rPr>
          <w:rFonts w:asciiTheme="majorHAnsi" w:hAnsiTheme="majorHAnsi"/>
          <w:sz w:val="20"/>
          <w:lang w:val="en-US"/>
        </w:rPr>
        <w:t>, T</w:t>
      </w:r>
      <w:r w:rsidRPr="00644169">
        <w:rPr>
          <w:rFonts w:asciiTheme="majorHAnsi" w:hAnsiTheme="majorHAnsi"/>
          <w:sz w:val="20"/>
          <w:lang w:val="en-US"/>
        </w:rPr>
        <w:t xml:space="preserve">he Pathogenesis of Rheumatoid Arthritis, </w:t>
      </w:r>
      <w:r>
        <w:rPr>
          <w:rFonts w:asciiTheme="majorHAnsi" w:hAnsiTheme="majorHAnsi"/>
          <w:sz w:val="20"/>
          <w:lang w:val="en-US"/>
        </w:rPr>
        <w:t>NEJM. 2011</w:t>
      </w:r>
    </w:p>
  </w:footnote>
  <w:footnote w:id="3">
    <w:p w14:paraId="5A101C4F" w14:textId="40610767" w:rsidR="00F01373" w:rsidRPr="00CB5F0D" w:rsidRDefault="00F01373">
      <w:pPr>
        <w:pStyle w:val="Notedebasdepage"/>
        <w:rPr>
          <w:lang w:val="en-US"/>
        </w:rPr>
      </w:pPr>
      <w:r>
        <w:rPr>
          <w:rStyle w:val="Marquenotebasdepage"/>
        </w:rPr>
        <w:footnoteRef/>
      </w:r>
      <w:r w:rsidRPr="00154455">
        <w:rPr>
          <w:lang w:val="en-US"/>
        </w:rPr>
        <w:t xml:space="preserve"> </w:t>
      </w:r>
      <w:proofErr w:type="spellStart"/>
      <w:r w:rsidRPr="00F01373">
        <w:rPr>
          <w:rFonts w:asciiTheme="majorHAnsi" w:hAnsiTheme="majorHAnsi"/>
          <w:sz w:val="20"/>
          <w:lang w:val="en-US"/>
        </w:rPr>
        <w:t>Gravallese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EM, </w:t>
      </w:r>
      <w:proofErr w:type="spellStart"/>
      <w:r w:rsidRPr="00F01373">
        <w:rPr>
          <w:rFonts w:asciiTheme="majorHAnsi" w:hAnsiTheme="majorHAnsi"/>
          <w:sz w:val="20"/>
          <w:lang w:val="en-US"/>
        </w:rPr>
        <w:t>Schett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G. Effects of the IL-23-IL-17 pathway on bone in </w:t>
      </w:r>
      <w:proofErr w:type="spellStart"/>
      <w:r w:rsidRPr="00F01373">
        <w:rPr>
          <w:rFonts w:asciiTheme="majorHAnsi" w:hAnsiTheme="majorHAnsi"/>
          <w:sz w:val="20"/>
          <w:lang w:val="en-US"/>
        </w:rPr>
        <w:t>spondyloarthritis</w:t>
      </w:r>
      <w:proofErr w:type="spellEnd"/>
      <w:r w:rsidRPr="00F01373">
        <w:rPr>
          <w:rFonts w:asciiTheme="majorHAnsi" w:hAnsiTheme="majorHAnsi"/>
          <w:sz w:val="20"/>
          <w:lang w:val="en-US"/>
        </w:rPr>
        <w:t>. </w:t>
      </w:r>
      <w:r w:rsidRPr="00F01373">
        <w:rPr>
          <w:rFonts w:asciiTheme="majorHAnsi" w:hAnsiTheme="majorHAnsi"/>
          <w:i/>
          <w:iCs/>
          <w:sz w:val="20"/>
          <w:lang w:val="en-US"/>
        </w:rPr>
        <w:t xml:space="preserve">Nat Rev </w:t>
      </w:r>
      <w:proofErr w:type="spellStart"/>
      <w:r w:rsidRPr="00F01373">
        <w:rPr>
          <w:rFonts w:asciiTheme="majorHAnsi" w:hAnsiTheme="majorHAnsi"/>
          <w:i/>
          <w:iCs/>
          <w:sz w:val="20"/>
          <w:lang w:val="en-US"/>
        </w:rPr>
        <w:t>Rheumatol</w:t>
      </w:r>
      <w:proofErr w:type="spellEnd"/>
      <w:r w:rsidRPr="00F01373">
        <w:rPr>
          <w:rFonts w:asciiTheme="majorHAnsi" w:hAnsiTheme="majorHAnsi"/>
          <w:sz w:val="20"/>
          <w:lang w:val="en-US"/>
        </w:rPr>
        <w:t>. 2018</w:t>
      </w:r>
    </w:p>
  </w:footnote>
  <w:footnote w:id="4">
    <w:p w14:paraId="7AAB572E" w14:textId="7CA1CCC8" w:rsidR="00F01373" w:rsidRPr="00F01373" w:rsidRDefault="00F01373">
      <w:pPr>
        <w:pStyle w:val="Notedebasdepage"/>
        <w:rPr>
          <w:rFonts w:asciiTheme="majorHAnsi" w:hAnsiTheme="majorHAnsi"/>
          <w:sz w:val="20"/>
          <w:lang w:val="en-US"/>
        </w:rPr>
      </w:pPr>
      <w:r w:rsidRPr="00F01373">
        <w:rPr>
          <w:rStyle w:val="Marquenotebasdepage"/>
          <w:rFonts w:asciiTheme="majorHAnsi" w:hAnsiTheme="majorHAnsi"/>
          <w:sz w:val="20"/>
        </w:rPr>
        <w:footnoteRef/>
      </w:r>
      <w:r w:rsidRPr="00154455">
        <w:rPr>
          <w:rFonts w:asciiTheme="majorHAnsi" w:hAnsiTheme="majorHAnsi"/>
          <w:sz w:val="20"/>
          <w:lang w:val="en-US"/>
        </w:rPr>
        <w:t xml:space="preserve"> </w:t>
      </w:r>
      <w:proofErr w:type="spellStart"/>
      <w:r w:rsidRPr="00F01373">
        <w:rPr>
          <w:rFonts w:asciiTheme="majorHAnsi" w:hAnsiTheme="majorHAnsi"/>
          <w:sz w:val="20"/>
          <w:lang w:val="en-US"/>
        </w:rPr>
        <w:t>Guggino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G, Ferrante A, </w:t>
      </w:r>
      <w:proofErr w:type="spellStart"/>
      <w:r w:rsidRPr="00F01373">
        <w:rPr>
          <w:rFonts w:asciiTheme="majorHAnsi" w:hAnsiTheme="majorHAnsi"/>
          <w:sz w:val="20"/>
          <w:lang w:val="en-US"/>
        </w:rPr>
        <w:t>Macaluso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F, </w:t>
      </w:r>
      <w:proofErr w:type="spellStart"/>
      <w:r w:rsidRPr="00F01373">
        <w:rPr>
          <w:rFonts w:asciiTheme="majorHAnsi" w:hAnsiTheme="majorHAnsi"/>
          <w:sz w:val="20"/>
          <w:lang w:val="en-US"/>
        </w:rPr>
        <w:t>Triolo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G, </w:t>
      </w:r>
      <w:proofErr w:type="spellStart"/>
      <w:r w:rsidRPr="00F01373">
        <w:rPr>
          <w:rFonts w:asciiTheme="majorHAnsi" w:hAnsiTheme="majorHAnsi"/>
          <w:sz w:val="20"/>
          <w:lang w:val="en-US"/>
        </w:rPr>
        <w:t>Ciccia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 F. Pathogenesis of polymyalgia rheumatica. </w:t>
      </w:r>
      <w:proofErr w:type="spellStart"/>
      <w:r w:rsidRPr="00F01373">
        <w:rPr>
          <w:rFonts w:asciiTheme="majorHAnsi" w:hAnsiTheme="majorHAnsi"/>
          <w:i/>
          <w:iCs/>
          <w:sz w:val="20"/>
          <w:lang w:val="en-US"/>
        </w:rPr>
        <w:t>Reumatismo</w:t>
      </w:r>
      <w:proofErr w:type="spellEnd"/>
      <w:r w:rsidRPr="00F01373">
        <w:rPr>
          <w:rFonts w:asciiTheme="majorHAnsi" w:hAnsiTheme="majorHAnsi"/>
          <w:sz w:val="20"/>
          <w:lang w:val="en-US"/>
        </w:rPr>
        <w:t xml:space="preserve">. 2018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8016FA"/>
    <w:multiLevelType w:val="multilevel"/>
    <w:tmpl w:val="60B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F17EA"/>
    <w:multiLevelType w:val="multilevel"/>
    <w:tmpl w:val="2C8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C1E8C"/>
    <w:multiLevelType w:val="hybridMultilevel"/>
    <w:tmpl w:val="424CE6FE"/>
    <w:lvl w:ilvl="0" w:tplc="45321B9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Thierry">
    <w15:presenceInfo w15:providerId="AD" w15:userId="S-1-5-21-1576931544-2072343170-937766905-3119"/>
  </w15:person>
  <w15:person w15:author="SEROR Raphaele">
    <w15:presenceInfo w15:providerId="AD" w15:userId="S-1-5-21-3834895988-1951830915-283893654-314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C4"/>
    <w:rsid w:val="000F1C1B"/>
    <w:rsid w:val="00154455"/>
    <w:rsid w:val="00175AC9"/>
    <w:rsid w:val="00276E24"/>
    <w:rsid w:val="00306872"/>
    <w:rsid w:val="00336845"/>
    <w:rsid w:val="00356D1E"/>
    <w:rsid w:val="00381A6B"/>
    <w:rsid w:val="004422C4"/>
    <w:rsid w:val="004A76B1"/>
    <w:rsid w:val="0057392A"/>
    <w:rsid w:val="005F7406"/>
    <w:rsid w:val="00643F52"/>
    <w:rsid w:val="00644169"/>
    <w:rsid w:val="00656CA7"/>
    <w:rsid w:val="006F2D93"/>
    <w:rsid w:val="0070450E"/>
    <w:rsid w:val="007B263E"/>
    <w:rsid w:val="009B02AB"/>
    <w:rsid w:val="009E02C4"/>
    <w:rsid w:val="00A729B1"/>
    <w:rsid w:val="00AD4D17"/>
    <w:rsid w:val="00B13867"/>
    <w:rsid w:val="00C26AFD"/>
    <w:rsid w:val="00CB5F0D"/>
    <w:rsid w:val="00D1008A"/>
    <w:rsid w:val="00DE6CB5"/>
    <w:rsid w:val="00F01373"/>
    <w:rsid w:val="00F0720D"/>
    <w:rsid w:val="00F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035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92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5739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2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2C4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5F74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406"/>
  </w:style>
  <w:style w:type="character" w:customStyle="1" w:styleId="CommentaireCar">
    <w:name w:val="Commentaire Car"/>
    <w:basedOn w:val="Policepardfaut"/>
    <w:link w:val="Commentaire"/>
    <w:uiPriority w:val="99"/>
    <w:semiHidden/>
    <w:rsid w:val="005F74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4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40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56CA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44169"/>
  </w:style>
  <w:style w:type="character" w:customStyle="1" w:styleId="NotedebasdepageCar">
    <w:name w:val="Note de bas de page Car"/>
    <w:basedOn w:val="Policepardfaut"/>
    <w:link w:val="Notedebasdepage"/>
    <w:uiPriority w:val="99"/>
    <w:rsid w:val="00644169"/>
  </w:style>
  <w:style w:type="character" w:styleId="Marquenotebasdepage">
    <w:name w:val="footnote reference"/>
    <w:basedOn w:val="Policepardfaut"/>
    <w:uiPriority w:val="99"/>
    <w:unhideWhenUsed/>
    <w:rsid w:val="00644169"/>
    <w:rPr>
      <w:vertAlign w:val="superscript"/>
    </w:rPr>
  </w:style>
  <w:style w:type="character" w:customStyle="1" w:styleId="ref-journal">
    <w:name w:val="ref-journal"/>
    <w:basedOn w:val="Policepardfaut"/>
    <w:rsid w:val="00644169"/>
  </w:style>
  <w:style w:type="character" w:customStyle="1" w:styleId="ref-vol">
    <w:name w:val="ref-vol"/>
    <w:basedOn w:val="Policepardfaut"/>
    <w:rsid w:val="00644169"/>
  </w:style>
  <w:style w:type="character" w:customStyle="1" w:styleId="Titre1Car">
    <w:name w:val="Titre 1 Car"/>
    <w:basedOn w:val="Policepardfaut"/>
    <w:link w:val="Titre1"/>
    <w:uiPriority w:val="9"/>
    <w:rsid w:val="006441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92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5739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2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2C4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5F74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406"/>
  </w:style>
  <w:style w:type="character" w:customStyle="1" w:styleId="CommentaireCar">
    <w:name w:val="Commentaire Car"/>
    <w:basedOn w:val="Policepardfaut"/>
    <w:link w:val="Commentaire"/>
    <w:uiPriority w:val="99"/>
    <w:semiHidden/>
    <w:rsid w:val="005F74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4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40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56CA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44169"/>
  </w:style>
  <w:style w:type="character" w:customStyle="1" w:styleId="NotedebasdepageCar">
    <w:name w:val="Note de bas de page Car"/>
    <w:basedOn w:val="Policepardfaut"/>
    <w:link w:val="Notedebasdepage"/>
    <w:uiPriority w:val="99"/>
    <w:rsid w:val="00644169"/>
  </w:style>
  <w:style w:type="character" w:styleId="Marquenotebasdepage">
    <w:name w:val="footnote reference"/>
    <w:basedOn w:val="Policepardfaut"/>
    <w:uiPriority w:val="99"/>
    <w:unhideWhenUsed/>
    <w:rsid w:val="00644169"/>
    <w:rPr>
      <w:vertAlign w:val="superscript"/>
    </w:rPr>
  </w:style>
  <w:style w:type="character" w:customStyle="1" w:styleId="ref-journal">
    <w:name w:val="ref-journal"/>
    <w:basedOn w:val="Policepardfaut"/>
    <w:rsid w:val="00644169"/>
  </w:style>
  <w:style w:type="character" w:customStyle="1" w:styleId="ref-vol">
    <w:name w:val="ref-vol"/>
    <w:basedOn w:val="Policepardfaut"/>
    <w:rsid w:val="00644169"/>
  </w:style>
  <w:style w:type="character" w:customStyle="1" w:styleId="Titre1Car">
    <w:name w:val="Titre 1 Car"/>
    <w:basedOn w:val="Policepardfaut"/>
    <w:link w:val="Titre1"/>
    <w:uiPriority w:val="9"/>
    <w:rsid w:val="006441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4" Type="http://schemas.microsoft.com/office/2011/relationships/commentsExtended" Target="commentsExtended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2749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Sarfati</dc:creator>
  <cp:keywords/>
  <dc:description/>
  <cp:lastModifiedBy>Marine Sarfati</cp:lastModifiedBy>
  <cp:revision>6</cp:revision>
  <dcterms:created xsi:type="dcterms:W3CDTF">2020-05-06T14:58:00Z</dcterms:created>
  <dcterms:modified xsi:type="dcterms:W3CDTF">2020-05-22T14:11:00Z</dcterms:modified>
</cp:coreProperties>
</file>