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E9378" w14:textId="77777777" w:rsidR="001C445D" w:rsidRDefault="00000000">
      <w:pPr>
        <w:pStyle w:val="Titre1"/>
        <w:spacing w:before="0"/>
        <w:jc w:val="center"/>
      </w:pPr>
      <w:r>
        <w:t>Rhumatismes inflammatoires apparaissant</w:t>
      </w:r>
    </w:p>
    <w:p w14:paraId="457C30BE" w14:textId="77777777" w:rsidR="001C445D" w:rsidRDefault="00000000">
      <w:pPr>
        <w:pStyle w:val="Titre1"/>
        <w:spacing w:before="0"/>
        <w:jc w:val="center"/>
      </w:pPr>
      <w:r>
        <w:t>sous traitements ciblés de l’asthme</w:t>
      </w:r>
    </w:p>
    <w:p w14:paraId="4866D42C" w14:textId="77777777" w:rsidR="001C445D" w:rsidRDefault="00000000">
      <w:pPr>
        <w:pStyle w:val="Titre1"/>
        <w:jc w:val="center"/>
      </w:pPr>
      <w:r>
        <w:t>« RITA »</w:t>
      </w:r>
    </w:p>
    <w:p w14:paraId="2BE66C16" w14:textId="77777777" w:rsidR="001C445D" w:rsidRDefault="00000000">
      <w:pPr>
        <w:pStyle w:val="Titre1"/>
        <w:jc w:val="center"/>
        <w:rPr>
          <w:u w:val="single"/>
        </w:rPr>
      </w:pPr>
      <w:r>
        <w:rPr>
          <w:u w:val="single"/>
        </w:rPr>
        <w:t>Appel à observation</w:t>
      </w:r>
    </w:p>
    <w:p w14:paraId="41CD4223" w14:textId="77777777" w:rsidR="001C445D" w:rsidRDefault="001C445D">
      <w:pPr>
        <w:jc w:val="both"/>
      </w:pPr>
    </w:p>
    <w:p w14:paraId="7A6F10C1" w14:textId="77777777" w:rsidR="001C445D" w:rsidRDefault="001C445D">
      <w:pPr>
        <w:jc w:val="both"/>
      </w:pPr>
    </w:p>
    <w:p w14:paraId="11E2A65D" w14:textId="77777777" w:rsidR="001C445D" w:rsidRDefault="00000000">
      <w:pPr>
        <w:jc w:val="both"/>
      </w:pPr>
      <w:r>
        <w:t>Chères collègues, Chers collègues,</w:t>
      </w:r>
    </w:p>
    <w:p w14:paraId="3F150724" w14:textId="77777777" w:rsidR="001C445D" w:rsidRDefault="001C445D">
      <w:pPr>
        <w:jc w:val="both"/>
      </w:pPr>
    </w:p>
    <w:p w14:paraId="24BFC340" w14:textId="77777777" w:rsidR="001C445D" w:rsidRDefault="00000000">
      <w:pPr>
        <w:jc w:val="both"/>
      </w:pPr>
      <w:r>
        <w:t xml:space="preserve">Les traitements ciblés sont de plus en plus nombreux et font maintenant partie de notre pratique quotidienne. </w:t>
      </w:r>
    </w:p>
    <w:p w14:paraId="6BB2398D" w14:textId="77777777" w:rsidR="001C445D" w:rsidRDefault="00000000">
      <w:pPr>
        <w:jc w:val="both"/>
      </w:pPr>
      <w:r>
        <w:t xml:space="preserve">Ils sont utilisés dans plusieurs discipline incluant maintenant la pneumologie. Les thérapies ciblées ont permis d’avoir un nouvel arsenal thérapeutique dans le cadre de l’asthme sévère et ces mêmes traitements sont aussi utilisés dans la dermatite </w:t>
      </w:r>
      <w:proofErr w:type="spellStart"/>
      <w:r>
        <w:t>atopique</w:t>
      </w:r>
      <w:proofErr w:type="spellEnd"/>
      <w:r>
        <w:t xml:space="preserve"> et autres maladies du spectre de l’allergologie. En France en 2023, les traitements ciblés avec une AMM dans l’asthme sévère sont (1–4) ;</w:t>
      </w:r>
    </w:p>
    <w:p w14:paraId="2F56C51E" w14:textId="77777777" w:rsidR="001C445D" w:rsidRDefault="00000000">
      <w:pPr>
        <w:numPr>
          <w:ilvl w:val="0"/>
          <w:numId w:val="1"/>
        </w:numPr>
        <w:pBdr>
          <w:top w:val="nil"/>
          <w:left w:val="nil"/>
          <w:bottom w:val="nil"/>
          <w:right w:val="nil"/>
          <w:between w:val="nil"/>
        </w:pBdr>
        <w:jc w:val="both"/>
        <w:rPr>
          <w:color w:val="000000"/>
        </w:rPr>
      </w:pPr>
      <w:r>
        <w:rPr>
          <w:color w:val="000000"/>
        </w:rPr>
        <w:t>les anticorps anti IL-5 (</w:t>
      </w:r>
      <w:proofErr w:type="spellStart"/>
      <w:r>
        <w:rPr>
          <w:color w:val="000000"/>
        </w:rPr>
        <w:t>mépolizumab</w:t>
      </w:r>
      <w:proofErr w:type="spellEnd"/>
      <w:r>
        <w:rPr>
          <w:strike/>
          <w:color w:val="000000"/>
        </w:rPr>
        <w:t>)</w:t>
      </w:r>
      <w:r>
        <w:rPr>
          <w:color w:val="000000"/>
        </w:rPr>
        <w:t xml:space="preserve">, </w:t>
      </w:r>
    </w:p>
    <w:p w14:paraId="2ED4E325" w14:textId="77777777" w:rsidR="001C445D" w:rsidRDefault="00000000">
      <w:pPr>
        <w:numPr>
          <w:ilvl w:val="0"/>
          <w:numId w:val="1"/>
        </w:numPr>
        <w:pBdr>
          <w:top w:val="nil"/>
          <w:left w:val="nil"/>
          <w:bottom w:val="nil"/>
          <w:right w:val="nil"/>
          <w:between w:val="nil"/>
        </w:pBdr>
        <w:jc w:val="both"/>
        <w:rPr>
          <w:color w:val="000000"/>
        </w:rPr>
      </w:pPr>
      <w:r>
        <w:rPr>
          <w:color w:val="000000"/>
        </w:rPr>
        <w:t>les anticorps anti-IL5R {récepteur} (</w:t>
      </w:r>
      <w:proofErr w:type="spellStart"/>
      <w:r>
        <w:rPr>
          <w:color w:val="000000"/>
        </w:rPr>
        <w:t>benralizumab</w:t>
      </w:r>
      <w:proofErr w:type="spellEnd"/>
      <w:r>
        <w:rPr>
          <w:color w:val="000000"/>
        </w:rPr>
        <w:t xml:space="preserve">) </w:t>
      </w:r>
    </w:p>
    <w:p w14:paraId="381AD4B7" w14:textId="77777777" w:rsidR="001C445D" w:rsidRDefault="00000000">
      <w:pPr>
        <w:numPr>
          <w:ilvl w:val="0"/>
          <w:numId w:val="1"/>
        </w:numPr>
        <w:pBdr>
          <w:top w:val="nil"/>
          <w:left w:val="nil"/>
          <w:bottom w:val="nil"/>
          <w:right w:val="nil"/>
          <w:between w:val="nil"/>
        </w:pBdr>
        <w:jc w:val="both"/>
        <w:rPr>
          <w:color w:val="000000"/>
        </w:rPr>
      </w:pPr>
      <w:r>
        <w:rPr>
          <w:color w:val="000000"/>
        </w:rPr>
        <w:t>les anticorps anti-IL4R (</w:t>
      </w:r>
      <w:proofErr w:type="spellStart"/>
      <w:r>
        <w:rPr>
          <w:color w:val="000000"/>
        </w:rPr>
        <w:t>dupilumab</w:t>
      </w:r>
      <w:proofErr w:type="spellEnd"/>
      <w:r>
        <w:rPr>
          <w:color w:val="000000"/>
        </w:rPr>
        <w:t xml:space="preserve">), </w:t>
      </w:r>
    </w:p>
    <w:p w14:paraId="785F34E3" w14:textId="77777777" w:rsidR="001C445D" w:rsidRDefault="00000000">
      <w:pPr>
        <w:numPr>
          <w:ilvl w:val="0"/>
          <w:numId w:val="1"/>
        </w:numPr>
        <w:pBdr>
          <w:top w:val="nil"/>
          <w:left w:val="nil"/>
          <w:bottom w:val="nil"/>
          <w:right w:val="nil"/>
          <w:between w:val="nil"/>
        </w:pBdr>
        <w:jc w:val="both"/>
        <w:rPr>
          <w:color w:val="000000"/>
        </w:rPr>
      </w:pPr>
      <w:r>
        <w:rPr>
          <w:color w:val="000000"/>
        </w:rPr>
        <w:t>les anti TSLP (</w:t>
      </w:r>
      <w:proofErr w:type="spellStart"/>
      <w:r>
        <w:rPr>
          <w:color w:val="000000"/>
        </w:rPr>
        <w:t>tézépélumab</w:t>
      </w:r>
      <w:proofErr w:type="spellEnd"/>
      <w:r>
        <w:rPr>
          <w:color w:val="000000"/>
        </w:rPr>
        <w:t>)</w:t>
      </w:r>
    </w:p>
    <w:p w14:paraId="777CE272" w14:textId="77777777" w:rsidR="001C445D" w:rsidRDefault="00000000">
      <w:pPr>
        <w:numPr>
          <w:ilvl w:val="0"/>
          <w:numId w:val="1"/>
        </w:numPr>
        <w:pBdr>
          <w:top w:val="nil"/>
          <w:left w:val="nil"/>
          <w:bottom w:val="nil"/>
          <w:right w:val="nil"/>
          <w:between w:val="nil"/>
        </w:pBdr>
        <w:jc w:val="both"/>
        <w:rPr>
          <w:color w:val="000000"/>
        </w:rPr>
      </w:pPr>
      <w:r>
        <w:rPr>
          <w:color w:val="000000"/>
        </w:rPr>
        <w:t>les anticorps anti IgE (</w:t>
      </w:r>
      <w:proofErr w:type="spellStart"/>
      <w:r>
        <w:rPr>
          <w:color w:val="000000"/>
        </w:rPr>
        <w:t>omalizumab</w:t>
      </w:r>
      <w:proofErr w:type="spellEnd"/>
      <w:r>
        <w:rPr>
          <w:color w:val="000000"/>
        </w:rPr>
        <w:t>)</w:t>
      </w:r>
    </w:p>
    <w:p w14:paraId="0D082488" w14:textId="77777777" w:rsidR="001C445D" w:rsidRDefault="001C445D">
      <w:pPr>
        <w:jc w:val="both"/>
      </w:pPr>
    </w:p>
    <w:p w14:paraId="0C6E254A" w14:textId="77777777" w:rsidR="001C445D" w:rsidRDefault="00000000">
      <w:pPr>
        <w:jc w:val="both"/>
        <w:rPr>
          <w:b/>
        </w:rPr>
      </w:pPr>
      <w:r>
        <w:rPr>
          <w:b/>
        </w:rPr>
        <w:t xml:space="preserve">Des observations de rhumatisme inflammatoire dans les suites de l’introduction de biothérapie de l’asthme ont été rapportées. </w:t>
      </w:r>
    </w:p>
    <w:p w14:paraId="78993DFA" w14:textId="77777777" w:rsidR="001C445D" w:rsidRDefault="001C445D">
      <w:pPr>
        <w:jc w:val="both"/>
        <w:rPr>
          <w:b/>
        </w:rPr>
      </w:pPr>
    </w:p>
    <w:p w14:paraId="29EBA592" w14:textId="77777777" w:rsidR="001C445D" w:rsidRDefault="00000000">
      <w:pPr>
        <w:jc w:val="both"/>
      </w:pPr>
      <w:r>
        <w:t xml:space="preserve">Des données indiquent que, via l’action anti IL4 et IL13, le </w:t>
      </w:r>
      <w:proofErr w:type="spellStart"/>
      <w:r>
        <w:t>dupilumab</w:t>
      </w:r>
      <w:proofErr w:type="spellEnd"/>
      <w:r>
        <w:t xml:space="preserve"> préviendrait une polarisation Th2 mais engendrerait une suractivation de l’axe IL17 et supprimerait un rétrocontrôle Th12/23. De plus il a été retrouvé in vitro la présence de récepteurs IL4 et IL13 au niveau des enthèses. (5–7)</w:t>
      </w:r>
    </w:p>
    <w:p w14:paraId="503B8E5B" w14:textId="77777777" w:rsidR="001C445D" w:rsidRDefault="001C445D">
      <w:pPr>
        <w:jc w:val="both"/>
      </w:pPr>
    </w:p>
    <w:p w14:paraId="17D11B5E" w14:textId="77777777" w:rsidR="001C445D" w:rsidRDefault="00000000">
      <w:pPr>
        <w:jc w:val="both"/>
        <w:rPr>
          <w:b/>
        </w:rPr>
      </w:pPr>
      <w:r>
        <w:t>D’autres données indiquent que l’inhibition de la présence d’une sous-population de polynucléaires éosinophiles résidents dans les articulations par les  anti IL5 et 5R pourrait augmenter l’activité inflammatoire locale et pourrait favoriser l’inflammation articulaire (8–11).</w:t>
      </w:r>
    </w:p>
    <w:p w14:paraId="4C13A49D" w14:textId="77777777" w:rsidR="001C445D" w:rsidRDefault="001C445D">
      <w:pPr>
        <w:jc w:val="both"/>
        <w:rPr>
          <w:b/>
        </w:rPr>
      </w:pPr>
    </w:p>
    <w:p w14:paraId="289EEF1B" w14:textId="77777777" w:rsidR="001C445D" w:rsidRDefault="00000000">
      <w:pPr>
        <w:jc w:val="both"/>
        <w:rPr>
          <w:b/>
        </w:rPr>
      </w:pPr>
      <w:r>
        <w:rPr>
          <w:b/>
        </w:rPr>
        <w:t>Le nombre d’observations de rhumatisme inflammatoire sous biothérapie de l’asthme est limité et la prise en charge n’est pas codifiée.</w:t>
      </w:r>
    </w:p>
    <w:p w14:paraId="7447B101" w14:textId="77777777" w:rsidR="001C445D" w:rsidRDefault="001C445D">
      <w:pPr>
        <w:jc w:val="both"/>
        <w:rPr>
          <w:b/>
        </w:rPr>
      </w:pPr>
    </w:p>
    <w:p w14:paraId="7D5E572A" w14:textId="77777777" w:rsidR="001C445D" w:rsidRDefault="00000000">
      <w:pPr>
        <w:numPr>
          <w:ilvl w:val="0"/>
          <w:numId w:val="3"/>
        </w:numPr>
        <w:pBdr>
          <w:top w:val="nil"/>
          <w:left w:val="nil"/>
          <w:bottom w:val="nil"/>
          <w:right w:val="nil"/>
          <w:between w:val="nil"/>
        </w:pBdr>
        <w:jc w:val="both"/>
        <w:rPr>
          <w:color w:val="000000"/>
        </w:rPr>
      </w:pPr>
      <w:r>
        <w:rPr>
          <w:color w:val="000000"/>
        </w:rPr>
        <w:t xml:space="preserve">Nous avons identifié </w:t>
      </w:r>
      <w:r>
        <w:rPr>
          <w:color w:val="000000"/>
          <w:u w:val="single"/>
        </w:rPr>
        <w:t>moins de 20 cas de rhumatisme inflammatoire</w:t>
      </w:r>
      <w:r>
        <w:rPr>
          <w:color w:val="000000"/>
        </w:rPr>
        <w:t xml:space="preserve"> de novo (8,12,13), tous survenus sous </w:t>
      </w:r>
      <w:proofErr w:type="spellStart"/>
      <w:r>
        <w:rPr>
          <w:color w:val="000000"/>
        </w:rPr>
        <w:t>dupilumab</w:t>
      </w:r>
      <w:proofErr w:type="spellEnd"/>
      <w:r>
        <w:rPr>
          <w:color w:val="000000"/>
        </w:rPr>
        <w:t xml:space="preserve"> (anti- IL4), la plus grande série rapportant n = 11 cas. </w:t>
      </w:r>
    </w:p>
    <w:p w14:paraId="2742E45D" w14:textId="77777777" w:rsidR="001C445D" w:rsidRDefault="00000000">
      <w:pPr>
        <w:numPr>
          <w:ilvl w:val="0"/>
          <w:numId w:val="3"/>
        </w:numPr>
        <w:pBdr>
          <w:top w:val="nil"/>
          <w:left w:val="nil"/>
          <w:bottom w:val="nil"/>
          <w:right w:val="nil"/>
          <w:between w:val="nil"/>
        </w:pBdr>
        <w:jc w:val="both"/>
        <w:rPr>
          <w:color w:val="000000"/>
        </w:rPr>
      </w:pPr>
      <w:r>
        <w:rPr>
          <w:color w:val="000000"/>
        </w:rPr>
        <w:t xml:space="preserve">Nous avons identifié </w:t>
      </w:r>
      <w:r>
        <w:rPr>
          <w:color w:val="000000"/>
          <w:u w:val="single"/>
        </w:rPr>
        <w:t>moins de 10 observations de connectivites</w:t>
      </w:r>
      <w:r>
        <w:rPr>
          <w:color w:val="000000"/>
        </w:rPr>
        <w:t xml:space="preserve">, survenus sous différents traitements ciblés de l’asthme (14). </w:t>
      </w:r>
    </w:p>
    <w:p w14:paraId="4C3F923C" w14:textId="77777777" w:rsidR="001C445D" w:rsidRDefault="00000000">
      <w:pPr>
        <w:numPr>
          <w:ilvl w:val="0"/>
          <w:numId w:val="3"/>
        </w:numPr>
        <w:pBdr>
          <w:top w:val="nil"/>
          <w:left w:val="nil"/>
          <w:bottom w:val="nil"/>
          <w:right w:val="nil"/>
          <w:between w:val="nil"/>
        </w:pBdr>
        <w:jc w:val="both"/>
        <w:rPr>
          <w:color w:val="000000"/>
        </w:rPr>
      </w:pPr>
      <w:r>
        <w:rPr>
          <w:color w:val="000000"/>
          <w:u w:val="single"/>
        </w:rPr>
        <w:t>L’imputabilité est variablement</w:t>
      </w:r>
      <w:r>
        <w:rPr>
          <w:color w:val="000000"/>
        </w:rPr>
        <w:t xml:space="preserve"> jugée entre les auteurs de possible à certaine avec en moyenne une apparition des symptômes en moins de 4 mois.</w:t>
      </w:r>
    </w:p>
    <w:p w14:paraId="3DD9E874" w14:textId="77777777" w:rsidR="001C445D" w:rsidRDefault="00000000">
      <w:pPr>
        <w:numPr>
          <w:ilvl w:val="0"/>
          <w:numId w:val="3"/>
        </w:numPr>
        <w:pBdr>
          <w:top w:val="nil"/>
          <w:left w:val="nil"/>
          <w:bottom w:val="nil"/>
          <w:right w:val="nil"/>
          <w:between w:val="nil"/>
        </w:pBdr>
        <w:jc w:val="both"/>
        <w:rPr>
          <w:color w:val="000000"/>
        </w:rPr>
      </w:pPr>
      <w:r>
        <w:rPr>
          <w:color w:val="000000"/>
        </w:rPr>
        <w:lastRenderedPageBreak/>
        <w:t xml:space="preserve">La </w:t>
      </w:r>
      <w:r>
        <w:rPr>
          <w:color w:val="000000"/>
          <w:u w:val="single"/>
        </w:rPr>
        <w:t>prise en charge était hétérogène</w:t>
      </w:r>
      <w:r>
        <w:rPr>
          <w:color w:val="000000"/>
        </w:rPr>
        <w:t> ; en particulier en ce qui concerne l’arrêt ou la poursuite (n = 5) de la biothérapie mais aussi l’introduction d’un traitement ciblé ( n = 3 ) du rhumatisme inflammatoire associé ou non à la biothérapie de l’asthme (12)</w:t>
      </w:r>
      <w:r>
        <w:rPr>
          <w:i/>
          <w:color w:val="000000"/>
        </w:rPr>
        <w:t>.</w:t>
      </w:r>
    </w:p>
    <w:p w14:paraId="6BB7901E" w14:textId="77777777" w:rsidR="001C445D" w:rsidRDefault="001C445D">
      <w:pPr>
        <w:jc w:val="both"/>
      </w:pPr>
    </w:p>
    <w:p w14:paraId="7C20B0E7" w14:textId="77777777" w:rsidR="001C445D" w:rsidRDefault="00000000">
      <w:pPr>
        <w:jc w:val="both"/>
        <w:rPr>
          <w:b/>
        </w:rPr>
      </w:pPr>
      <w:r>
        <w:rPr>
          <w:b/>
        </w:rPr>
        <w:t>Nous proposons donc de colliger les observations de rhumatisme inflammatoire (avec ou sans connectivite) sous traitement ciblé de l’asthme dans le but de mieux décrire :</w:t>
      </w:r>
    </w:p>
    <w:p w14:paraId="0D2F7E3D" w14:textId="77777777" w:rsidR="001C445D" w:rsidRDefault="00000000">
      <w:pPr>
        <w:numPr>
          <w:ilvl w:val="0"/>
          <w:numId w:val="6"/>
        </w:numPr>
        <w:pBdr>
          <w:top w:val="nil"/>
          <w:left w:val="nil"/>
          <w:bottom w:val="nil"/>
          <w:right w:val="nil"/>
          <w:between w:val="nil"/>
        </w:pBdr>
        <w:jc w:val="both"/>
        <w:rPr>
          <w:color w:val="000000"/>
        </w:rPr>
      </w:pPr>
      <w:r>
        <w:rPr>
          <w:color w:val="000000"/>
        </w:rPr>
        <w:t>Les caractéristiques de ces événements,</w:t>
      </w:r>
    </w:p>
    <w:p w14:paraId="720AA86C" w14:textId="77777777" w:rsidR="001C445D" w:rsidRDefault="00000000">
      <w:pPr>
        <w:numPr>
          <w:ilvl w:val="0"/>
          <w:numId w:val="6"/>
        </w:numPr>
        <w:pBdr>
          <w:top w:val="nil"/>
          <w:left w:val="nil"/>
          <w:bottom w:val="nil"/>
          <w:right w:val="nil"/>
          <w:between w:val="nil"/>
        </w:pBdr>
        <w:jc w:val="both"/>
        <w:rPr>
          <w:color w:val="000000"/>
        </w:rPr>
      </w:pPr>
      <w:r>
        <w:rPr>
          <w:color w:val="000000"/>
        </w:rPr>
        <w:t>L’imputabilité de la biothérapie de l’asthme,</w:t>
      </w:r>
    </w:p>
    <w:p w14:paraId="1DEC3544" w14:textId="77777777" w:rsidR="001C445D" w:rsidRDefault="00000000">
      <w:pPr>
        <w:numPr>
          <w:ilvl w:val="0"/>
          <w:numId w:val="6"/>
        </w:numPr>
        <w:pBdr>
          <w:top w:val="nil"/>
          <w:left w:val="nil"/>
          <w:bottom w:val="nil"/>
          <w:right w:val="nil"/>
          <w:between w:val="nil"/>
        </w:pBdr>
        <w:jc w:val="both"/>
        <w:rPr>
          <w:color w:val="000000"/>
        </w:rPr>
      </w:pPr>
      <w:r>
        <w:rPr>
          <w:color w:val="000000"/>
        </w:rPr>
        <w:t>La prise en charge de ces évènements.</w:t>
      </w:r>
    </w:p>
    <w:p w14:paraId="09C43943" w14:textId="77777777" w:rsidR="001C445D" w:rsidRDefault="001C445D">
      <w:pPr>
        <w:pBdr>
          <w:top w:val="nil"/>
          <w:left w:val="nil"/>
          <w:bottom w:val="nil"/>
          <w:right w:val="nil"/>
          <w:between w:val="nil"/>
        </w:pBdr>
        <w:ind w:left="720"/>
        <w:jc w:val="both"/>
        <w:rPr>
          <w:b/>
          <w:color w:val="000000"/>
        </w:rPr>
      </w:pPr>
    </w:p>
    <w:p w14:paraId="47D584B9" w14:textId="77777777" w:rsidR="001C445D" w:rsidRDefault="00000000">
      <w:pPr>
        <w:pBdr>
          <w:top w:val="nil"/>
          <w:left w:val="nil"/>
          <w:bottom w:val="nil"/>
          <w:right w:val="nil"/>
          <w:between w:val="nil"/>
        </w:pBdr>
        <w:ind w:left="720"/>
        <w:jc w:val="both"/>
        <w:rPr>
          <w:b/>
          <w:color w:val="000000"/>
        </w:rPr>
      </w:pPr>
      <w:r>
        <w:rPr>
          <w:noProof/>
        </w:rPr>
        <mc:AlternateContent>
          <mc:Choice Requires="wpg">
            <w:drawing>
              <wp:anchor distT="0" distB="0" distL="114300" distR="114300" simplePos="0" relativeHeight="251658240" behindDoc="0" locked="0" layoutInCell="1" hidden="0" allowOverlap="1" wp14:anchorId="7A096E30" wp14:editId="56D5168D">
                <wp:simplePos x="0" y="0"/>
                <wp:positionH relativeFrom="column">
                  <wp:posOffset>-190499</wp:posOffset>
                </wp:positionH>
                <wp:positionV relativeFrom="paragraph">
                  <wp:posOffset>114300</wp:posOffset>
                </wp:positionV>
                <wp:extent cx="6407785" cy="890270"/>
                <wp:effectExtent l="0" t="0" r="0" b="0"/>
                <wp:wrapNone/>
                <wp:docPr id="2" name="Rectangle 2"/>
                <wp:cNvGraphicFramePr/>
                <a:graphic xmlns:a="http://schemas.openxmlformats.org/drawingml/2006/main">
                  <a:graphicData uri="http://schemas.microsoft.com/office/word/2010/wordprocessingShape">
                    <wps:wsp>
                      <wps:cNvSpPr/>
                      <wps:spPr>
                        <a:xfrm>
                          <a:off x="2156395" y="3349153"/>
                          <a:ext cx="6379210" cy="861695"/>
                        </a:xfrm>
                        <a:prstGeom prst="rect">
                          <a:avLst/>
                        </a:prstGeom>
                        <a:noFill/>
                        <a:ln w="28575" cap="flat" cmpd="sng">
                          <a:solidFill>
                            <a:srgbClr val="002060"/>
                          </a:solidFill>
                          <a:prstDash val="solid"/>
                          <a:miter lim="800000"/>
                          <a:headEnd type="none" w="sm" len="sm"/>
                          <a:tailEnd type="none" w="sm" len="sm"/>
                        </a:ln>
                      </wps:spPr>
                      <wps:txbx>
                        <w:txbxContent>
                          <w:p w14:paraId="697DB4C2" w14:textId="77777777" w:rsidR="001C445D" w:rsidRDefault="001C445D">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-190499</wp:posOffset>
                </wp:positionH>
                <wp:positionV relativeFrom="paragraph">
                  <wp:posOffset>114300</wp:posOffset>
                </wp:positionV>
                <wp:extent cx="6407785" cy="89027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407785" cy="890270"/>
                        </a:xfrm>
                        <a:prstGeom prst="rect"/>
                        <a:ln/>
                      </pic:spPr>
                    </pic:pic>
                  </a:graphicData>
                </a:graphic>
              </wp:anchor>
            </w:drawing>
          </mc:Fallback>
        </mc:AlternateContent>
      </w:r>
    </w:p>
    <w:p w14:paraId="65518EB0" w14:textId="77777777" w:rsidR="001C445D" w:rsidRDefault="00000000">
      <w:pPr>
        <w:jc w:val="both"/>
        <w:rPr>
          <w:b/>
          <w:u w:val="single"/>
        </w:rPr>
      </w:pPr>
      <w:r>
        <w:rPr>
          <w:b/>
          <w:u w:val="single"/>
        </w:rPr>
        <w:t>Les critères d’inclusions nécessitent la présence de :</w:t>
      </w:r>
    </w:p>
    <w:p w14:paraId="04DBDBD8" w14:textId="77777777" w:rsidR="001C445D" w:rsidRDefault="00000000">
      <w:pPr>
        <w:numPr>
          <w:ilvl w:val="0"/>
          <w:numId w:val="2"/>
        </w:numPr>
        <w:pBdr>
          <w:top w:val="nil"/>
          <w:left w:val="nil"/>
          <w:bottom w:val="nil"/>
          <w:right w:val="nil"/>
          <w:between w:val="nil"/>
        </w:pBdr>
        <w:jc w:val="both"/>
        <w:rPr>
          <w:b/>
          <w:color w:val="000000"/>
          <w:u w:val="single"/>
        </w:rPr>
      </w:pPr>
      <w:r>
        <w:rPr>
          <w:b/>
          <w:color w:val="000000"/>
        </w:rPr>
        <w:t>Un rhumatisme inflammatoire</w:t>
      </w:r>
    </w:p>
    <w:p w14:paraId="018DA226" w14:textId="77777777" w:rsidR="001C445D" w:rsidRDefault="00000000">
      <w:pPr>
        <w:numPr>
          <w:ilvl w:val="0"/>
          <w:numId w:val="2"/>
        </w:numPr>
        <w:pBdr>
          <w:top w:val="nil"/>
          <w:left w:val="nil"/>
          <w:bottom w:val="nil"/>
          <w:right w:val="nil"/>
          <w:between w:val="nil"/>
        </w:pBdr>
        <w:jc w:val="both"/>
        <w:rPr>
          <w:b/>
          <w:color w:val="000000"/>
          <w:u w:val="single"/>
        </w:rPr>
      </w:pPr>
      <w:r>
        <w:rPr>
          <w:b/>
          <w:color w:val="000000"/>
        </w:rPr>
        <w:t>Survenu de novo</w:t>
      </w:r>
    </w:p>
    <w:p w14:paraId="31923385" w14:textId="77777777" w:rsidR="001C445D" w:rsidRDefault="00000000">
      <w:pPr>
        <w:numPr>
          <w:ilvl w:val="0"/>
          <w:numId w:val="2"/>
        </w:numPr>
        <w:pBdr>
          <w:top w:val="nil"/>
          <w:left w:val="nil"/>
          <w:bottom w:val="nil"/>
          <w:right w:val="nil"/>
          <w:between w:val="nil"/>
        </w:pBdr>
        <w:jc w:val="both"/>
        <w:rPr>
          <w:b/>
          <w:color w:val="000000"/>
          <w:u w:val="single"/>
        </w:rPr>
      </w:pPr>
      <w:r>
        <w:rPr>
          <w:b/>
          <w:color w:val="000000"/>
        </w:rPr>
        <w:t xml:space="preserve">Sous une biothérapie de l’asthme (pour un asthme et/ou une maladie apparentée) </w:t>
      </w:r>
    </w:p>
    <w:p w14:paraId="50CF3322" w14:textId="77777777" w:rsidR="001C445D" w:rsidRDefault="001C445D">
      <w:pPr>
        <w:jc w:val="both"/>
      </w:pPr>
    </w:p>
    <w:p w14:paraId="37E97F13" w14:textId="77777777" w:rsidR="001C445D" w:rsidRDefault="001C445D">
      <w:pPr>
        <w:jc w:val="both"/>
      </w:pPr>
    </w:p>
    <w:p w14:paraId="13BCC449" w14:textId="77777777" w:rsidR="001C445D" w:rsidRDefault="00000000">
      <w:pPr>
        <w:jc w:val="both"/>
        <w:rPr>
          <w:i/>
        </w:rPr>
      </w:pPr>
      <w:r>
        <w:rPr>
          <w:i/>
        </w:rPr>
        <w:t>Au moment de cette observation, les traitements ciblés dans l’asthme sont :</w:t>
      </w:r>
    </w:p>
    <w:p w14:paraId="4BC2E9D4" w14:textId="77777777" w:rsidR="001C445D" w:rsidRDefault="00000000">
      <w:pPr>
        <w:numPr>
          <w:ilvl w:val="1"/>
          <w:numId w:val="5"/>
        </w:numPr>
        <w:pBdr>
          <w:top w:val="nil"/>
          <w:left w:val="nil"/>
          <w:bottom w:val="nil"/>
          <w:right w:val="nil"/>
          <w:between w:val="nil"/>
        </w:pBdr>
        <w:jc w:val="both"/>
        <w:rPr>
          <w:i/>
          <w:color w:val="000000"/>
        </w:rPr>
      </w:pPr>
      <w:r>
        <w:rPr>
          <w:i/>
          <w:color w:val="000000"/>
        </w:rPr>
        <w:t xml:space="preserve">DUPILUMAB </w:t>
      </w:r>
    </w:p>
    <w:p w14:paraId="0F914488" w14:textId="77777777" w:rsidR="001C445D" w:rsidRDefault="00000000">
      <w:pPr>
        <w:numPr>
          <w:ilvl w:val="1"/>
          <w:numId w:val="5"/>
        </w:numPr>
        <w:pBdr>
          <w:top w:val="nil"/>
          <w:left w:val="nil"/>
          <w:bottom w:val="nil"/>
          <w:right w:val="nil"/>
          <w:between w:val="nil"/>
        </w:pBdr>
        <w:jc w:val="both"/>
        <w:rPr>
          <w:i/>
          <w:color w:val="000000"/>
        </w:rPr>
      </w:pPr>
      <w:r>
        <w:rPr>
          <w:i/>
          <w:color w:val="000000"/>
        </w:rPr>
        <w:t>MEPOLIZUMAB</w:t>
      </w:r>
    </w:p>
    <w:p w14:paraId="52FED911" w14:textId="77777777" w:rsidR="001C445D" w:rsidRDefault="00000000">
      <w:pPr>
        <w:numPr>
          <w:ilvl w:val="1"/>
          <w:numId w:val="5"/>
        </w:numPr>
        <w:pBdr>
          <w:top w:val="nil"/>
          <w:left w:val="nil"/>
          <w:bottom w:val="nil"/>
          <w:right w:val="nil"/>
          <w:between w:val="nil"/>
        </w:pBdr>
        <w:jc w:val="both"/>
        <w:rPr>
          <w:i/>
          <w:color w:val="000000"/>
        </w:rPr>
      </w:pPr>
      <w:r>
        <w:rPr>
          <w:i/>
          <w:color w:val="000000"/>
        </w:rPr>
        <w:t>BENRALIZUMAB</w:t>
      </w:r>
    </w:p>
    <w:p w14:paraId="15DA3BD8" w14:textId="77777777" w:rsidR="001C445D" w:rsidRDefault="00000000">
      <w:pPr>
        <w:numPr>
          <w:ilvl w:val="1"/>
          <w:numId w:val="5"/>
        </w:numPr>
        <w:pBdr>
          <w:top w:val="nil"/>
          <w:left w:val="nil"/>
          <w:bottom w:val="nil"/>
          <w:right w:val="nil"/>
          <w:between w:val="nil"/>
        </w:pBdr>
        <w:jc w:val="both"/>
        <w:rPr>
          <w:i/>
          <w:color w:val="000000"/>
        </w:rPr>
      </w:pPr>
      <w:r>
        <w:rPr>
          <w:i/>
          <w:color w:val="000000"/>
        </w:rPr>
        <w:t>TEZEPELUMAB</w:t>
      </w:r>
    </w:p>
    <w:p w14:paraId="703678B3" w14:textId="77777777" w:rsidR="001C445D" w:rsidRDefault="00000000">
      <w:pPr>
        <w:numPr>
          <w:ilvl w:val="1"/>
          <w:numId w:val="5"/>
        </w:numPr>
        <w:pBdr>
          <w:top w:val="nil"/>
          <w:left w:val="nil"/>
          <w:bottom w:val="nil"/>
          <w:right w:val="nil"/>
          <w:between w:val="nil"/>
        </w:pBdr>
        <w:jc w:val="both"/>
        <w:rPr>
          <w:i/>
          <w:color w:val="000000"/>
        </w:rPr>
      </w:pPr>
      <w:r>
        <w:rPr>
          <w:i/>
          <w:color w:val="000000"/>
        </w:rPr>
        <w:t>OMALIMUMAB</w:t>
      </w:r>
    </w:p>
    <w:p w14:paraId="74C163CF" w14:textId="77777777" w:rsidR="001C445D" w:rsidRDefault="001C445D">
      <w:pPr>
        <w:jc w:val="both"/>
      </w:pPr>
    </w:p>
    <w:p w14:paraId="3A1EF4E9" w14:textId="77777777" w:rsidR="001C445D" w:rsidRDefault="00000000">
      <w:pPr>
        <w:jc w:val="both"/>
      </w:pPr>
      <w:r>
        <w:t>En pratique si vous avez des observations pouvant être inclues dans cette étude, contactez-nous. Pour le recueil, 3 modalités sont possibles :</w:t>
      </w:r>
    </w:p>
    <w:p w14:paraId="50A65A19" w14:textId="77777777" w:rsidR="001C445D" w:rsidRDefault="00000000">
      <w:pPr>
        <w:numPr>
          <w:ilvl w:val="0"/>
          <w:numId w:val="4"/>
        </w:numPr>
        <w:jc w:val="both"/>
        <w:rPr>
          <w:b/>
        </w:rPr>
      </w:pPr>
      <w:r>
        <w:rPr>
          <w:b/>
        </w:rPr>
        <w:t>Soit nous viendrons faire le recueil sur site selon la localisation</w:t>
      </w:r>
    </w:p>
    <w:p w14:paraId="18DB478D" w14:textId="77777777" w:rsidR="001C445D" w:rsidRDefault="00000000">
      <w:pPr>
        <w:numPr>
          <w:ilvl w:val="0"/>
          <w:numId w:val="4"/>
        </w:numPr>
        <w:jc w:val="both"/>
        <w:rPr>
          <w:b/>
        </w:rPr>
      </w:pPr>
      <w:r>
        <w:rPr>
          <w:b/>
        </w:rPr>
        <w:t>Soit nous adresser les courriers de suivi</w:t>
      </w:r>
    </w:p>
    <w:p w14:paraId="2F54B73A" w14:textId="77777777" w:rsidR="001C445D" w:rsidRDefault="00000000">
      <w:pPr>
        <w:numPr>
          <w:ilvl w:val="0"/>
          <w:numId w:val="4"/>
        </w:numPr>
        <w:jc w:val="both"/>
        <w:rPr>
          <w:b/>
        </w:rPr>
      </w:pPr>
      <w:r>
        <w:rPr>
          <w:b/>
        </w:rPr>
        <w:t>Soit remplir la fiche de recueil que vous pouvez télécharger en cliquant ICI et l’envoyer à l’adresse suivante : arthur.gandiolle@chru-strasbourg.fr</w:t>
      </w:r>
    </w:p>
    <w:p w14:paraId="6005FF17" w14:textId="77777777" w:rsidR="001C445D" w:rsidRDefault="00000000">
      <w:pPr>
        <w:jc w:val="both"/>
        <w:rPr>
          <w:b/>
          <w:u w:val="single"/>
        </w:rPr>
      </w:pPr>
      <w:r>
        <w:rPr>
          <w:b/>
          <w:u w:val="single"/>
        </w:rPr>
        <w:t xml:space="preserve"> </w:t>
      </w:r>
    </w:p>
    <w:p w14:paraId="6117F915" w14:textId="77777777" w:rsidR="001C445D" w:rsidRDefault="00000000">
      <w:pPr>
        <w:jc w:val="both"/>
        <w:rPr>
          <w:i/>
        </w:rPr>
      </w:pPr>
      <w:r>
        <w:rPr>
          <w:i/>
        </w:rPr>
        <w:t>à</w:t>
      </w:r>
    </w:p>
    <w:p w14:paraId="6FBB91C3" w14:textId="77777777" w:rsidR="001C445D" w:rsidRDefault="001C445D">
      <w:pPr>
        <w:jc w:val="both"/>
      </w:pPr>
    </w:p>
    <w:p w14:paraId="09D3DEB4" w14:textId="77777777" w:rsidR="001C445D" w:rsidRDefault="00000000" w:rsidP="00F74228">
      <w:pPr>
        <w:jc w:val="both"/>
      </w:pPr>
      <w:r>
        <w:t>Arthur GANDIOLLE - Service de Rhumatologie – Hôpitaux Universitaire de Strasbourg –</w:t>
      </w:r>
    </w:p>
    <w:p w14:paraId="2013526B" w14:textId="77777777" w:rsidR="001C445D" w:rsidRDefault="00000000" w:rsidP="00F74228">
      <w:pPr>
        <w:jc w:val="both"/>
      </w:pPr>
      <w:r>
        <w:t xml:space="preserve">HAUTEPIERRE 67098 STRASBOURG CEDEX ; arthur.gandiolle@chru-strasbourg.fr </w:t>
      </w:r>
      <w:r w:rsidR="00F74228">
        <w:t xml:space="preserve">ou </w:t>
      </w:r>
      <w:proofErr w:type="spellStart"/>
      <w:r w:rsidR="00F74228">
        <w:t>arthur</w:t>
      </w:r>
      <w:proofErr w:type="spellEnd"/>
      <w:r w:rsidR="00F74228">
        <w:t> .gandiolle@gmail.com</w:t>
      </w:r>
    </w:p>
    <w:p w14:paraId="204DA119" w14:textId="77777777" w:rsidR="001C445D" w:rsidRDefault="00000000" w:rsidP="00F74228">
      <w:pPr>
        <w:jc w:val="center"/>
      </w:pPr>
      <w:r>
        <w:t>OU</w:t>
      </w:r>
    </w:p>
    <w:p w14:paraId="5D2A07D5" w14:textId="77777777" w:rsidR="001C445D" w:rsidRDefault="00000000" w:rsidP="00F74228">
      <w:pPr>
        <w:jc w:val="both"/>
      </w:pPr>
      <w:r>
        <w:t xml:space="preserve">Alain MEYER - Service de Rhumatologie – Hôpitaux Universitaire de Strasbourg – HAUTEPIERRE 67098 STRASBOURG CEDEX ; </w:t>
      </w:r>
    </w:p>
    <w:p w14:paraId="307B68B9" w14:textId="77777777" w:rsidR="001C445D" w:rsidRDefault="00000000" w:rsidP="00F74228">
      <w:pPr>
        <w:jc w:val="both"/>
      </w:pPr>
      <w:r>
        <w:t>alain.meyer1@chru-strasbourg.fr Tél : 06 76 95 31 67 Fax 03 69 55 19 02</w:t>
      </w:r>
    </w:p>
    <w:p w14:paraId="096D3BBB" w14:textId="77777777" w:rsidR="001C445D" w:rsidRDefault="001C445D">
      <w:pPr>
        <w:jc w:val="both"/>
      </w:pPr>
    </w:p>
    <w:p w14:paraId="3E992317" w14:textId="77777777" w:rsidR="001C445D" w:rsidRDefault="00000000">
      <w:pPr>
        <w:jc w:val="both"/>
      </w:pPr>
      <w:r>
        <w:t>En cas de doute sur les critères d’inclusion, ou si des éléments ne sont pas clairs, n’hésitez pas à nous contacter.</w:t>
      </w:r>
    </w:p>
    <w:p w14:paraId="13E3FF00" w14:textId="77777777" w:rsidR="001C445D" w:rsidRDefault="001C445D">
      <w:pPr>
        <w:jc w:val="both"/>
      </w:pPr>
    </w:p>
    <w:p w14:paraId="2CBA6E14" w14:textId="77777777" w:rsidR="001C445D" w:rsidRDefault="00000000">
      <w:pPr>
        <w:jc w:val="both"/>
      </w:pPr>
      <w:r>
        <w:t>L’inclusion d’un patient que vous prenez en charge impliquera, si vous l’acceptez, votre association à la publication.</w:t>
      </w:r>
    </w:p>
    <w:p w14:paraId="071DCF42" w14:textId="77777777" w:rsidR="001C445D" w:rsidRDefault="001C445D">
      <w:pPr>
        <w:jc w:val="both"/>
      </w:pPr>
    </w:p>
    <w:p w14:paraId="1DA4D039" w14:textId="77777777" w:rsidR="001C445D" w:rsidRDefault="00000000">
      <w:pPr>
        <w:jc w:val="both"/>
      </w:pPr>
      <w:r>
        <w:lastRenderedPageBreak/>
        <w:t>Nous serions très heureux de votre participation à ce projet,</w:t>
      </w:r>
    </w:p>
    <w:p w14:paraId="56D4EBDA" w14:textId="77777777" w:rsidR="001C445D" w:rsidRDefault="001C445D">
      <w:pPr>
        <w:jc w:val="both"/>
      </w:pPr>
    </w:p>
    <w:p w14:paraId="4168FF89" w14:textId="77777777" w:rsidR="001C445D" w:rsidRDefault="00000000">
      <w:pPr>
        <w:jc w:val="both"/>
      </w:pPr>
      <w:r>
        <w:t>Avec nos meilleures salutations,</w:t>
      </w:r>
    </w:p>
    <w:p w14:paraId="741FEF7A" w14:textId="77777777" w:rsidR="001C445D" w:rsidRDefault="001C445D">
      <w:pPr>
        <w:jc w:val="both"/>
      </w:pPr>
    </w:p>
    <w:p w14:paraId="08330AD1" w14:textId="77777777" w:rsidR="001C445D" w:rsidRDefault="00000000">
      <w:pPr>
        <w:jc w:val="both"/>
      </w:pPr>
      <w:r>
        <w:t xml:space="preserve">Arthur </w:t>
      </w:r>
      <w:proofErr w:type="spellStart"/>
      <w:r>
        <w:t>Gandiolle</w:t>
      </w:r>
      <w:proofErr w:type="spellEnd"/>
      <w:r>
        <w:t xml:space="preserve">, Alain Meyer, Jean </w:t>
      </w:r>
      <w:proofErr w:type="spellStart"/>
      <w:r>
        <w:t>Sibilia</w:t>
      </w:r>
      <w:proofErr w:type="spellEnd"/>
    </w:p>
    <w:p w14:paraId="2932B231" w14:textId="77777777" w:rsidR="001C445D" w:rsidRDefault="001C445D">
      <w:pPr>
        <w:jc w:val="both"/>
      </w:pPr>
    </w:p>
    <w:p w14:paraId="18EAD978" w14:textId="77777777" w:rsidR="001C445D" w:rsidRDefault="00000000">
      <w:pPr>
        <w:jc w:val="both"/>
      </w:pPr>
      <w:r>
        <w:t>REFERENCES</w:t>
      </w:r>
    </w:p>
    <w:p w14:paraId="04A59801" w14:textId="77777777" w:rsidR="001C445D" w:rsidRDefault="001C445D">
      <w:pPr>
        <w:jc w:val="both"/>
      </w:pPr>
    </w:p>
    <w:p w14:paraId="5FC515CF" w14:textId="77777777" w:rsidR="001C445D" w:rsidRDefault="00000000">
      <w:pPr>
        <w:pBdr>
          <w:top w:val="nil"/>
          <w:left w:val="nil"/>
          <w:bottom w:val="nil"/>
          <w:right w:val="nil"/>
          <w:between w:val="nil"/>
        </w:pBdr>
        <w:tabs>
          <w:tab w:val="left" w:pos="380"/>
        </w:tabs>
        <w:spacing w:after="240"/>
        <w:ind w:left="384" w:hanging="384"/>
        <w:jc w:val="both"/>
        <w:rPr>
          <w:color w:val="000000"/>
        </w:rPr>
      </w:pPr>
      <w:r>
        <w:rPr>
          <w:color w:val="000000"/>
        </w:rPr>
        <w:tab/>
      </w:r>
    </w:p>
    <w:p w14:paraId="26E28FED" w14:textId="77777777" w:rsidR="001C445D" w:rsidRDefault="00000000">
      <w:pPr>
        <w:pBdr>
          <w:top w:val="nil"/>
          <w:left w:val="nil"/>
          <w:bottom w:val="nil"/>
          <w:right w:val="nil"/>
          <w:between w:val="nil"/>
        </w:pBdr>
        <w:tabs>
          <w:tab w:val="left" w:pos="380"/>
        </w:tabs>
        <w:spacing w:after="240"/>
        <w:ind w:left="384" w:hanging="384"/>
        <w:jc w:val="both"/>
        <w:rPr>
          <w:color w:val="000000"/>
        </w:rPr>
      </w:pPr>
      <w:r>
        <w:rPr>
          <w:color w:val="000000"/>
        </w:rPr>
        <w:tab/>
      </w:r>
    </w:p>
    <w:p w14:paraId="5CB835E3" w14:textId="77777777" w:rsidR="001C445D" w:rsidRDefault="00000000">
      <w:pPr>
        <w:pBdr>
          <w:top w:val="nil"/>
          <w:left w:val="nil"/>
          <w:bottom w:val="nil"/>
          <w:right w:val="nil"/>
          <w:between w:val="nil"/>
        </w:pBdr>
        <w:tabs>
          <w:tab w:val="left" w:pos="380"/>
        </w:tabs>
        <w:spacing w:after="240"/>
        <w:ind w:left="384" w:hanging="384"/>
        <w:jc w:val="both"/>
        <w:rPr>
          <w:color w:val="000000"/>
        </w:rPr>
      </w:pPr>
      <w:r>
        <w:rPr>
          <w:color w:val="000000"/>
        </w:rPr>
        <w:tab/>
      </w:r>
    </w:p>
    <w:p w14:paraId="21F8278C" w14:textId="77777777" w:rsidR="001C445D" w:rsidRDefault="00000000">
      <w:pPr>
        <w:pBdr>
          <w:top w:val="nil"/>
          <w:left w:val="nil"/>
          <w:bottom w:val="nil"/>
          <w:right w:val="nil"/>
          <w:between w:val="nil"/>
        </w:pBdr>
        <w:tabs>
          <w:tab w:val="left" w:pos="380"/>
        </w:tabs>
        <w:spacing w:after="240"/>
        <w:ind w:left="384" w:hanging="384"/>
        <w:jc w:val="both"/>
        <w:rPr>
          <w:color w:val="000000"/>
        </w:rPr>
      </w:pPr>
      <w:r>
        <w:rPr>
          <w:color w:val="000000"/>
        </w:rPr>
        <w:tab/>
      </w:r>
    </w:p>
    <w:p w14:paraId="4811F6C8" w14:textId="77777777" w:rsidR="001C445D" w:rsidRDefault="00000000">
      <w:pPr>
        <w:pBdr>
          <w:top w:val="nil"/>
          <w:left w:val="nil"/>
          <w:bottom w:val="nil"/>
          <w:right w:val="nil"/>
          <w:between w:val="nil"/>
        </w:pBdr>
        <w:tabs>
          <w:tab w:val="left" w:pos="380"/>
        </w:tabs>
        <w:spacing w:after="240"/>
        <w:ind w:left="384" w:hanging="384"/>
        <w:jc w:val="both"/>
        <w:rPr>
          <w:color w:val="000000"/>
        </w:rPr>
      </w:pPr>
      <w:r>
        <w:rPr>
          <w:color w:val="000000"/>
        </w:rPr>
        <w:tab/>
      </w:r>
    </w:p>
    <w:p w14:paraId="74353716" w14:textId="77777777" w:rsidR="001C445D" w:rsidRDefault="00000000">
      <w:pPr>
        <w:pBdr>
          <w:top w:val="nil"/>
          <w:left w:val="nil"/>
          <w:bottom w:val="nil"/>
          <w:right w:val="nil"/>
          <w:between w:val="nil"/>
        </w:pBdr>
        <w:tabs>
          <w:tab w:val="left" w:pos="380"/>
        </w:tabs>
        <w:spacing w:after="240"/>
        <w:ind w:left="384" w:hanging="384"/>
        <w:jc w:val="both"/>
        <w:rPr>
          <w:color w:val="000000"/>
        </w:rPr>
      </w:pPr>
      <w:r>
        <w:rPr>
          <w:color w:val="000000"/>
        </w:rPr>
        <w:tab/>
      </w:r>
    </w:p>
    <w:p w14:paraId="388F3E6E" w14:textId="77777777" w:rsidR="001C445D" w:rsidRDefault="00000000">
      <w:pPr>
        <w:pBdr>
          <w:top w:val="nil"/>
          <w:left w:val="nil"/>
          <w:bottom w:val="nil"/>
          <w:right w:val="nil"/>
          <w:between w:val="nil"/>
        </w:pBdr>
        <w:tabs>
          <w:tab w:val="left" w:pos="380"/>
        </w:tabs>
        <w:spacing w:after="240"/>
        <w:ind w:left="384" w:hanging="384"/>
        <w:jc w:val="both"/>
        <w:rPr>
          <w:color w:val="000000"/>
        </w:rPr>
      </w:pPr>
      <w:r>
        <w:rPr>
          <w:color w:val="000000"/>
        </w:rPr>
        <w:tab/>
      </w:r>
    </w:p>
    <w:p w14:paraId="6A5ACA1D" w14:textId="77777777" w:rsidR="001C445D" w:rsidRDefault="00000000">
      <w:pPr>
        <w:pBdr>
          <w:top w:val="nil"/>
          <w:left w:val="nil"/>
          <w:bottom w:val="nil"/>
          <w:right w:val="nil"/>
          <w:between w:val="nil"/>
        </w:pBdr>
        <w:tabs>
          <w:tab w:val="left" w:pos="380"/>
        </w:tabs>
        <w:spacing w:after="240"/>
        <w:ind w:left="384" w:hanging="384"/>
        <w:jc w:val="both"/>
        <w:rPr>
          <w:color w:val="000000"/>
        </w:rPr>
      </w:pPr>
      <w:r>
        <w:rPr>
          <w:color w:val="000000"/>
        </w:rPr>
        <w:tab/>
      </w:r>
    </w:p>
    <w:p w14:paraId="3808B7AB" w14:textId="77777777" w:rsidR="001C445D" w:rsidRDefault="00000000">
      <w:pPr>
        <w:pBdr>
          <w:top w:val="nil"/>
          <w:left w:val="nil"/>
          <w:bottom w:val="nil"/>
          <w:right w:val="nil"/>
          <w:between w:val="nil"/>
        </w:pBdr>
        <w:tabs>
          <w:tab w:val="left" w:pos="380"/>
        </w:tabs>
        <w:spacing w:after="240"/>
        <w:ind w:left="384" w:hanging="384"/>
        <w:jc w:val="both"/>
        <w:rPr>
          <w:color w:val="000000"/>
        </w:rPr>
      </w:pPr>
      <w:r>
        <w:rPr>
          <w:color w:val="000000"/>
        </w:rPr>
        <w:tab/>
      </w:r>
    </w:p>
    <w:p w14:paraId="417ADBA2" w14:textId="77777777" w:rsidR="001C445D" w:rsidRDefault="00000000">
      <w:pPr>
        <w:pBdr>
          <w:top w:val="nil"/>
          <w:left w:val="nil"/>
          <w:bottom w:val="nil"/>
          <w:right w:val="nil"/>
          <w:between w:val="nil"/>
        </w:pBdr>
        <w:tabs>
          <w:tab w:val="left" w:pos="380"/>
        </w:tabs>
        <w:spacing w:after="240"/>
        <w:ind w:left="384" w:hanging="384"/>
        <w:jc w:val="both"/>
        <w:rPr>
          <w:color w:val="000000"/>
        </w:rPr>
      </w:pPr>
      <w:r>
        <w:rPr>
          <w:color w:val="000000"/>
        </w:rPr>
        <w:tab/>
      </w:r>
    </w:p>
    <w:p w14:paraId="2148BEC1" w14:textId="77777777" w:rsidR="001C445D" w:rsidRDefault="00000000">
      <w:pPr>
        <w:pBdr>
          <w:top w:val="nil"/>
          <w:left w:val="nil"/>
          <w:bottom w:val="nil"/>
          <w:right w:val="nil"/>
          <w:between w:val="nil"/>
        </w:pBdr>
        <w:tabs>
          <w:tab w:val="left" w:pos="380"/>
        </w:tabs>
        <w:spacing w:after="240"/>
        <w:ind w:left="384" w:hanging="384"/>
        <w:jc w:val="both"/>
        <w:rPr>
          <w:color w:val="000000"/>
        </w:rPr>
      </w:pPr>
      <w:r>
        <w:rPr>
          <w:color w:val="000000"/>
        </w:rPr>
        <w:tab/>
      </w:r>
    </w:p>
    <w:p w14:paraId="7ECAB0FA" w14:textId="77777777" w:rsidR="001C445D" w:rsidRDefault="00000000">
      <w:pPr>
        <w:pBdr>
          <w:top w:val="nil"/>
          <w:left w:val="nil"/>
          <w:bottom w:val="nil"/>
          <w:right w:val="nil"/>
          <w:between w:val="nil"/>
        </w:pBdr>
        <w:tabs>
          <w:tab w:val="left" w:pos="380"/>
        </w:tabs>
        <w:spacing w:after="240"/>
        <w:ind w:left="384" w:hanging="384"/>
        <w:jc w:val="both"/>
        <w:rPr>
          <w:color w:val="000000"/>
        </w:rPr>
      </w:pPr>
      <w:r>
        <w:rPr>
          <w:color w:val="000000"/>
        </w:rPr>
        <w:tab/>
      </w:r>
    </w:p>
    <w:p w14:paraId="40F44FDF" w14:textId="77777777" w:rsidR="001C445D" w:rsidRDefault="00000000">
      <w:pPr>
        <w:pBdr>
          <w:top w:val="nil"/>
          <w:left w:val="nil"/>
          <w:bottom w:val="nil"/>
          <w:right w:val="nil"/>
          <w:between w:val="nil"/>
        </w:pBdr>
        <w:tabs>
          <w:tab w:val="left" w:pos="380"/>
        </w:tabs>
        <w:spacing w:after="240"/>
        <w:ind w:left="384" w:hanging="384"/>
        <w:jc w:val="both"/>
        <w:rPr>
          <w:color w:val="000000"/>
        </w:rPr>
      </w:pPr>
      <w:r>
        <w:rPr>
          <w:color w:val="000000"/>
        </w:rPr>
        <w:tab/>
      </w:r>
    </w:p>
    <w:p w14:paraId="77A8EAF6" w14:textId="77777777" w:rsidR="001C445D" w:rsidRDefault="00000000">
      <w:pPr>
        <w:pBdr>
          <w:top w:val="nil"/>
          <w:left w:val="nil"/>
          <w:bottom w:val="nil"/>
          <w:right w:val="nil"/>
          <w:between w:val="nil"/>
        </w:pBdr>
        <w:tabs>
          <w:tab w:val="left" w:pos="380"/>
        </w:tabs>
        <w:spacing w:after="240"/>
        <w:ind w:left="384" w:hanging="384"/>
        <w:jc w:val="both"/>
        <w:rPr>
          <w:color w:val="000000"/>
        </w:rPr>
      </w:pPr>
      <w:r>
        <w:rPr>
          <w:color w:val="000000"/>
        </w:rPr>
        <w:tab/>
      </w:r>
    </w:p>
    <w:p w14:paraId="264ACE1D" w14:textId="77777777" w:rsidR="001C445D" w:rsidRDefault="00000000">
      <w:pPr>
        <w:pBdr>
          <w:top w:val="nil"/>
          <w:left w:val="nil"/>
          <w:bottom w:val="nil"/>
          <w:right w:val="nil"/>
          <w:between w:val="nil"/>
        </w:pBdr>
        <w:tabs>
          <w:tab w:val="left" w:pos="380"/>
        </w:tabs>
        <w:spacing w:after="240"/>
        <w:ind w:left="384" w:hanging="384"/>
        <w:jc w:val="both"/>
        <w:rPr>
          <w:color w:val="000000"/>
        </w:rPr>
      </w:pPr>
      <w:r>
        <w:fldChar w:fldCharType="begin"/>
      </w:r>
      <w:r>
        <w:instrText xml:space="preserve"> HYPERLINK "about:blank" </w:instrText>
      </w:r>
      <w:r>
        <w:fldChar w:fldCharType="separate"/>
      </w:r>
      <w:r>
        <w:rPr>
          <w:color w:val="000000"/>
        </w:rPr>
        <w:t>1.</w:t>
      </w:r>
      <w:r>
        <w:rPr>
          <w:color w:val="000000"/>
        </w:rPr>
        <w:tab/>
      </w:r>
      <w:proofErr w:type="spellStart"/>
      <w:r>
        <w:rPr>
          <w:color w:val="000000"/>
        </w:rPr>
        <w:t>Degraeuwe</w:t>
      </w:r>
      <w:proofErr w:type="spellEnd"/>
      <w:r>
        <w:rPr>
          <w:color w:val="000000"/>
        </w:rPr>
        <w:t xml:space="preserve"> A. Dermatite </w:t>
      </w:r>
      <w:proofErr w:type="spellStart"/>
      <w:r>
        <w:rPr>
          <w:color w:val="000000"/>
        </w:rPr>
        <w:t>atopique</w:t>
      </w:r>
      <w:proofErr w:type="spellEnd"/>
      <w:r>
        <w:rPr>
          <w:color w:val="000000"/>
        </w:rPr>
        <w:t xml:space="preserve">: physiopathologie et nouveaux traitements. 2021;24. </w:t>
      </w:r>
    </w:p>
    <w:p w14:paraId="1ED1F3FF" w14:textId="77777777" w:rsidR="001C445D" w:rsidRDefault="00000000">
      <w:pPr>
        <w:pBdr>
          <w:top w:val="nil"/>
          <w:left w:val="nil"/>
          <w:bottom w:val="nil"/>
          <w:right w:val="nil"/>
          <w:between w:val="nil"/>
        </w:pBdr>
        <w:tabs>
          <w:tab w:val="left" w:pos="380"/>
        </w:tabs>
        <w:spacing w:after="240"/>
        <w:ind w:left="384" w:hanging="384"/>
        <w:jc w:val="both"/>
        <w:rPr>
          <w:color w:val="000000"/>
        </w:rPr>
      </w:pPr>
      <w:r>
        <w:rPr>
          <w:color w:val="000000"/>
        </w:rPr>
        <w:t>2.</w:t>
      </w:r>
      <w:r>
        <w:rPr>
          <w:color w:val="000000"/>
        </w:rPr>
        <w:tab/>
      </w:r>
      <w:proofErr w:type="spellStart"/>
      <w:r>
        <w:rPr>
          <w:color w:val="000000"/>
        </w:rPr>
        <w:t>Tabardel</w:t>
      </w:r>
      <w:proofErr w:type="spellEnd"/>
      <w:r>
        <w:rPr>
          <w:color w:val="000000"/>
        </w:rPr>
        <w:t xml:space="preserve"> M, Clark E, </w:t>
      </w:r>
      <w:proofErr w:type="spellStart"/>
      <w:r>
        <w:rPr>
          <w:color w:val="000000"/>
        </w:rPr>
        <w:t>Demoly</w:t>
      </w:r>
      <w:proofErr w:type="spellEnd"/>
      <w:r>
        <w:rPr>
          <w:color w:val="000000"/>
        </w:rPr>
        <w:t xml:space="preserve"> P, </w:t>
      </w:r>
      <w:proofErr w:type="spellStart"/>
      <w:r>
        <w:rPr>
          <w:color w:val="000000"/>
        </w:rPr>
        <w:t>Caimmi</w:t>
      </w:r>
      <w:proofErr w:type="spellEnd"/>
      <w:r>
        <w:rPr>
          <w:color w:val="000000"/>
        </w:rPr>
        <w:t xml:space="preserve"> D. Les anticorps monoclonaux à disposition des allergologues pour traiter l’asthme sévère. </w:t>
      </w:r>
      <w:proofErr w:type="spellStart"/>
      <w:r>
        <w:rPr>
          <w:color w:val="000000"/>
        </w:rPr>
        <w:t>Rev</w:t>
      </w:r>
      <w:proofErr w:type="spellEnd"/>
      <w:r>
        <w:rPr>
          <w:color w:val="000000"/>
        </w:rPr>
        <w:t xml:space="preserve"> Fr </w:t>
      </w:r>
      <w:proofErr w:type="spellStart"/>
      <w:r>
        <w:rPr>
          <w:color w:val="000000"/>
        </w:rPr>
        <w:t>Allergol</w:t>
      </w:r>
      <w:proofErr w:type="spellEnd"/>
      <w:r>
        <w:rPr>
          <w:color w:val="000000"/>
        </w:rPr>
        <w:t xml:space="preserve">. </w:t>
      </w:r>
      <w:proofErr w:type="spellStart"/>
      <w:r>
        <w:rPr>
          <w:color w:val="000000"/>
        </w:rPr>
        <w:t>oct</w:t>
      </w:r>
      <w:proofErr w:type="spellEnd"/>
      <w:r>
        <w:rPr>
          <w:color w:val="000000"/>
        </w:rPr>
        <w:t xml:space="preserve"> 2022;62(6):572‑7. </w:t>
      </w:r>
    </w:p>
    <w:p w14:paraId="778A3FB8" w14:textId="77777777" w:rsidR="001C445D" w:rsidRDefault="00000000">
      <w:pPr>
        <w:pBdr>
          <w:top w:val="nil"/>
          <w:left w:val="nil"/>
          <w:bottom w:val="nil"/>
          <w:right w:val="nil"/>
          <w:between w:val="nil"/>
        </w:pBdr>
        <w:tabs>
          <w:tab w:val="left" w:pos="380"/>
        </w:tabs>
        <w:spacing w:after="240"/>
        <w:ind w:left="384" w:hanging="384"/>
        <w:jc w:val="both"/>
        <w:rPr>
          <w:color w:val="000000"/>
        </w:rPr>
      </w:pPr>
      <w:r>
        <w:rPr>
          <w:color w:val="000000"/>
        </w:rPr>
        <w:t>3.</w:t>
      </w:r>
      <w:r>
        <w:rPr>
          <w:color w:val="000000"/>
        </w:rPr>
        <w:tab/>
      </w:r>
      <w:proofErr w:type="spellStart"/>
      <w:r>
        <w:rPr>
          <w:color w:val="000000"/>
        </w:rPr>
        <w:t>Raherison-Semjen</w:t>
      </w:r>
      <w:proofErr w:type="spellEnd"/>
      <w:r>
        <w:rPr>
          <w:color w:val="000000"/>
        </w:rPr>
        <w:t xml:space="preserve"> C, Guilleminault L, </w:t>
      </w:r>
      <w:proofErr w:type="spellStart"/>
      <w:r>
        <w:rPr>
          <w:color w:val="000000"/>
        </w:rPr>
        <w:t>Billiart</w:t>
      </w:r>
      <w:proofErr w:type="spellEnd"/>
      <w:r>
        <w:rPr>
          <w:color w:val="000000"/>
        </w:rPr>
        <w:t xml:space="preserve"> I, </w:t>
      </w:r>
      <w:proofErr w:type="spellStart"/>
      <w:r>
        <w:rPr>
          <w:color w:val="000000"/>
        </w:rPr>
        <w:t>Chenivesse</w:t>
      </w:r>
      <w:proofErr w:type="spellEnd"/>
      <w:r>
        <w:rPr>
          <w:color w:val="000000"/>
        </w:rPr>
        <w:t xml:space="preserve"> C, De Oliveira A, </w:t>
      </w:r>
      <w:proofErr w:type="spellStart"/>
      <w:r>
        <w:rPr>
          <w:color w:val="000000"/>
        </w:rPr>
        <w:t>Izadifar</w:t>
      </w:r>
      <w:proofErr w:type="spellEnd"/>
      <w:r>
        <w:rPr>
          <w:color w:val="000000"/>
        </w:rPr>
        <w:t xml:space="preserve"> A, et al. Mise à jour des recommandations (2021) pour la prise en charge et le suivi des patients asthmatiques adultes sous l’égide de la Société de pneumologie de langue française (SPLF) et de la Société pédiatrique de pneumologie et allergologie (SP2A). Version longue. </w:t>
      </w:r>
      <w:proofErr w:type="spellStart"/>
      <w:r>
        <w:rPr>
          <w:color w:val="000000"/>
        </w:rPr>
        <w:t>Rev</w:t>
      </w:r>
      <w:proofErr w:type="spellEnd"/>
      <w:r>
        <w:rPr>
          <w:color w:val="000000"/>
        </w:rPr>
        <w:t xml:space="preserve"> Mal </w:t>
      </w:r>
      <w:proofErr w:type="spellStart"/>
      <w:r>
        <w:rPr>
          <w:color w:val="000000"/>
        </w:rPr>
        <w:t>Respir</w:t>
      </w:r>
      <w:proofErr w:type="spellEnd"/>
      <w:r>
        <w:rPr>
          <w:color w:val="000000"/>
        </w:rPr>
        <w:t xml:space="preserve">. </w:t>
      </w:r>
      <w:proofErr w:type="spellStart"/>
      <w:r>
        <w:rPr>
          <w:color w:val="000000"/>
        </w:rPr>
        <w:t>déc</w:t>
      </w:r>
      <w:proofErr w:type="spellEnd"/>
      <w:r>
        <w:rPr>
          <w:color w:val="000000"/>
        </w:rPr>
        <w:t xml:space="preserve"> 2021;38(10):1048‑83. </w:t>
      </w:r>
    </w:p>
    <w:p w14:paraId="0DBB7DFE" w14:textId="77777777" w:rsidR="001C445D" w:rsidRPr="00F74228" w:rsidRDefault="00000000">
      <w:pPr>
        <w:pBdr>
          <w:top w:val="nil"/>
          <w:left w:val="nil"/>
          <w:bottom w:val="nil"/>
          <w:right w:val="nil"/>
          <w:between w:val="nil"/>
        </w:pBdr>
        <w:tabs>
          <w:tab w:val="left" w:pos="380"/>
        </w:tabs>
        <w:spacing w:after="240"/>
        <w:ind w:left="384" w:hanging="384"/>
        <w:jc w:val="both"/>
        <w:rPr>
          <w:color w:val="000000"/>
          <w:lang w:val="en-US"/>
        </w:rPr>
      </w:pPr>
      <w:r>
        <w:rPr>
          <w:color w:val="000000"/>
        </w:rPr>
        <w:t>4.</w:t>
      </w:r>
      <w:r>
        <w:rPr>
          <w:color w:val="000000"/>
        </w:rPr>
        <w:tab/>
        <w:t xml:space="preserve">Madouri F, </w:t>
      </w:r>
      <w:proofErr w:type="spellStart"/>
      <w:r>
        <w:rPr>
          <w:color w:val="000000"/>
        </w:rPr>
        <w:t>Quesniaux</w:t>
      </w:r>
      <w:proofErr w:type="spellEnd"/>
      <w:r>
        <w:rPr>
          <w:color w:val="000000"/>
        </w:rPr>
        <w:t xml:space="preserve"> V, </w:t>
      </w:r>
      <w:proofErr w:type="spellStart"/>
      <w:r>
        <w:rPr>
          <w:color w:val="000000"/>
        </w:rPr>
        <w:t>Ryffel</w:t>
      </w:r>
      <w:proofErr w:type="spellEnd"/>
      <w:r>
        <w:rPr>
          <w:color w:val="000000"/>
        </w:rPr>
        <w:t xml:space="preserve"> B, </w:t>
      </w:r>
      <w:proofErr w:type="spellStart"/>
      <w:r>
        <w:rPr>
          <w:color w:val="000000"/>
        </w:rPr>
        <w:t>Togbe</w:t>
      </w:r>
      <w:proofErr w:type="spellEnd"/>
      <w:r>
        <w:rPr>
          <w:color w:val="000000"/>
        </w:rPr>
        <w:t xml:space="preserve"> D. TSLP, une nouvelle cible thérapeutique potentielle pour le traitement de l’asthme allergique. </w:t>
      </w:r>
      <w:r w:rsidRPr="00F74228">
        <w:rPr>
          <w:color w:val="000000"/>
          <w:lang w:val="en-US"/>
        </w:rPr>
        <w:t xml:space="preserve">Rev Fr </w:t>
      </w:r>
      <w:proofErr w:type="spellStart"/>
      <w:r w:rsidRPr="00F74228">
        <w:rPr>
          <w:color w:val="000000"/>
          <w:lang w:val="en-US"/>
        </w:rPr>
        <w:t>Allergol</w:t>
      </w:r>
      <w:proofErr w:type="spellEnd"/>
      <w:r w:rsidRPr="00F74228">
        <w:rPr>
          <w:color w:val="000000"/>
          <w:lang w:val="en-US"/>
        </w:rPr>
        <w:t xml:space="preserve">. </w:t>
      </w:r>
      <w:proofErr w:type="spellStart"/>
      <w:r w:rsidRPr="00F74228">
        <w:rPr>
          <w:color w:val="000000"/>
          <w:lang w:val="en-US"/>
        </w:rPr>
        <w:t>avr</w:t>
      </w:r>
      <w:proofErr w:type="spellEnd"/>
      <w:r w:rsidRPr="00F74228">
        <w:rPr>
          <w:color w:val="000000"/>
          <w:lang w:val="en-US"/>
        </w:rPr>
        <w:t xml:space="preserve"> 2013;53(3):100‑3. </w:t>
      </w:r>
    </w:p>
    <w:p w14:paraId="6CDD2E65" w14:textId="77777777" w:rsidR="001C445D" w:rsidRDefault="00000000">
      <w:pPr>
        <w:pBdr>
          <w:top w:val="nil"/>
          <w:left w:val="nil"/>
          <w:bottom w:val="nil"/>
          <w:right w:val="nil"/>
          <w:between w:val="nil"/>
        </w:pBdr>
        <w:tabs>
          <w:tab w:val="left" w:pos="380"/>
        </w:tabs>
        <w:spacing w:after="240"/>
        <w:ind w:left="384" w:hanging="384"/>
        <w:jc w:val="both"/>
        <w:rPr>
          <w:color w:val="000000"/>
        </w:rPr>
      </w:pPr>
      <w:r w:rsidRPr="00F74228">
        <w:rPr>
          <w:color w:val="000000"/>
          <w:lang w:val="en-US"/>
        </w:rPr>
        <w:lastRenderedPageBreak/>
        <w:t>5.</w:t>
      </w:r>
      <w:r w:rsidRPr="00F74228">
        <w:rPr>
          <w:color w:val="000000"/>
          <w:lang w:val="en-US"/>
        </w:rPr>
        <w:tab/>
        <w:t xml:space="preserve">T Helper 2 IL-4/IL-13 Dual Blockade with Dupilumab Is Linked to Some Emergent T Helper 17‒Type Diseases, Including Seronegative Arthritis and Enthesitis/Enthesopathy, but Not to Humoral Autoimmune Diseases - PubMed [Internet]. </w:t>
      </w:r>
      <w:r>
        <w:rPr>
          <w:color w:val="000000"/>
        </w:rPr>
        <w:t>[cité 13 nov 2022]. Disponible sur: https://pubmed.ncbi.nlm.nih.gov/35395222/</w:t>
      </w:r>
    </w:p>
    <w:p w14:paraId="7C49D093" w14:textId="77777777" w:rsidR="001C445D" w:rsidRPr="00F74228" w:rsidRDefault="00000000">
      <w:pPr>
        <w:pBdr>
          <w:top w:val="nil"/>
          <w:left w:val="nil"/>
          <w:bottom w:val="nil"/>
          <w:right w:val="nil"/>
          <w:between w:val="nil"/>
        </w:pBdr>
        <w:tabs>
          <w:tab w:val="left" w:pos="380"/>
        </w:tabs>
        <w:spacing w:after="240"/>
        <w:ind w:left="384" w:hanging="384"/>
        <w:jc w:val="both"/>
        <w:rPr>
          <w:color w:val="000000"/>
          <w:lang w:val="en-US"/>
        </w:rPr>
      </w:pPr>
      <w:r w:rsidRPr="00F74228">
        <w:rPr>
          <w:color w:val="000000"/>
          <w:lang w:val="en-US"/>
        </w:rPr>
        <w:t>6.</w:t>
      </w:r>
      <w:r w:rsidRPr="00F74228">
        <w:rPr>
          <w:color w:val="000000"/>
          <w:lang w:val="en-US"/>
        </w:rPr>
        <w:tab/>
        <w:t xml:space="preserve">Bridgewood C, Sharif K, Freeston J, Saleem B, Russell T, Watad A, et al. Regulation of </w:t>
      </w:r>
      <w:proofErr w:type="spellStart"/>
      <w:r w:rsidRPr="00F74228">
        <w:rPr>
          <w:color w:val="000000"/>
          <w:lang w:val="en-US"/>
        </w:rPr>
        <w:t>entheseal</w:t>
      </w:r>
      <w:proofErr w:type="spellEnd"/>
      <w:r w:rsidRPr="00F74228">
        <w:rPr>
          <w:color w:val="000000"/>
          <w:lang w:val="en-US"/>
        </w:rPr>
        <w:t xml:space="preserve"> IL-23 expression by IL-4 and IL-13 as an explanation for arthropathy development under dupilumab therapy. Rheumatology. 1 </w:t>
      </w:r>
      <w:proofErr w:type="spellStart"/>
      <w:r w:rsidRPr="00F74228">
        <w:rPr>
          <w:color w:val="000000"/>
          <w:lang w:val="en-US"/>
        </w:rPr>
        <w:t>mai</w:t>
      </w:r>
      <w:proofErr w:type="spellEnd"/>
      <w:r w:rsidRPr="00F74228">
        <w:rPr>
          <w:color w:val="000000"/>
          <w:lang w:val="en-US"/>
        </w:rPr>
        <w:t xml:space="preserve"> 2021;60(5):2461‑6. </w:t>
      </w:r>
    </w:p>
    <w:p w14:paraId="36D38938" w14:textId="77777777" w:rsidR="001C445D" w:rsidRDefault="00000000">
      <w:pPr>
        <w:pBdr>
          <w:top w:val="nil"/>
          <w:left w:val="nil"/>
          <w:bottom w:val="nil"/>
          <w:right w:val="nil"/>
          <w:between w:val="nil"/>
        </w:pBdr>
        <w:tabs>
          <w:tab w:val="left" w:pos="380"/>
        </w:tabs>
        <w:spacing w:after="240"/>
        <w:ind w:left="384" w:hanging="384"/>
        <w:jc w:val="both"/>
        <w:rPr>
          <w:color w:val="000000"/>
        </w:rPr>
      </w:pPr>
      <w:r w:rsidRPr="00F74228">
        <w:rPr>
          <w:color w:val="000000"/>
          <w:lang w:val="en-US"/>
        </w:rPr>
        <w:t>7.</w:t>
      </w:r>
      <w:r w:rsidRPr="00F74228">
        <w:rPr>
          <w:color w:val="000000"/>
          <w:lang w:val="en-US"/>
        </w:rPr>
        <w:tab/>
        <w:t xml:space="preserve">Unexpected connections of the IL-23/IL-17 and IL-4/IL-13 cytokine axes in inflammatory arthritis and enthesitis - PubMed [Internet]. </w:t>
      </w:r>
      <w:r>
        <w:rPr>
          <w:color w:val="000000"/>
        </w:rPr>
        <w:t>[cité 13 nov 2022]. Disponible sur: https://pubmed.ncbi.nlm.nih.gov/34799224/</w:t>
      </w:r>
    </w:p>
    <w:p w14:paraId="6C43FFE2" w14:textId="77777777" w:rsidR="001C445D" w:rsidRPr="00F74228" w:rsidRDefault="00000000">
      <w:pPr>
        <w:pBdr>
          <w:top w:val="nil"/>
          <w:left w:val="nil"/>
          <w:bottom w:val="nil"/>
          <w:right w:val="nil"/>
          <w:between w:val="nil"/>
        </w:pBdr>
        <w:tabs>
          <w:tab w:val="left" w:pos="380"/>
        </w:tabs>
        <w:spacing w:after="240"/>
        <w:ind w:left="384" w:hanging="384"/>
        <w:jc w:val="both"/>
        <w:rPr>
          <w:color w:val="000000"/>
          <w:lang w:val="en-US"/>
        </w:rPr>
      </w:pPr>
      <w:r w:rsidRPr="00F74228">
        <w:rPr>
          <w:color w:val="000000"/>
          <w:lang w:val="en-US"/>
        </w:rPr>
        <w:t>8.</w:t>
      </w:r>
      <w:r w:rsidRPr="00F74228">
        <w:rPr>
          <w:color w:val="000000"/>
          <w:lang w:val="en-US"/>
        </w:rPr>
        <w:tab/>
        <w:t xml:space="preserve">Kawabata H, Satoh M, </w:t>
      </w:r>
      <w:proofErr w:type="spellStart"/>
      <w:r w:rsidRPr="00F74228">
        <w:rPr>
          <w:color w:val="000000"/>
          <w:lang w:val="en-US"/>
        </w:rPr>
        <w:t>Yatera</w:t>
      </w:r>
      <w:proofErr w:type="spellEnd"/>
      <w:r w:rsidRPr="00F74228">
        <w:rPr>
          <w:color w:val="000000"/>
          <w:lang w:val="en-US"/>
        </w:rPr>
        <w:t xml:space="preserve"> K. Development of Rheumatoid Arthritis During Anti-Interleukin-5 Therapy in a Patient with Refractory Chronic Eosinophilic Pneumonia. J Asthma Allergy. 26 </w:t>
      </w:r>
      <w:proofErr w:type="spellStart"/>
      <w:r w:rsidRPr="00F74228">
        <w:rPr>
          <w:color w:val="000000"/>
          <w:lang w:val="en-US"/>
        </w:rPr>
        <w:t>nov</w:t>
      </w:r>
      <w:proofErr w:type="spellEnd"/>
      <w:r w:rsidRPr="00F74228">
        <w:rPr>
          <w:color w:val="000000"/>
          <w:lang w:val="en-US"/>
        </w:rPr>
        <w:t xml:space="preserve"> 2021;14:1425‑30. </w:t>
      </w:r>
    </w:p>
    <w:p w14:paraId="07BC7971" w14:textId="77777777" w:rsidR="001C445D" w:rsidRPr="00F74228" w:rsidRDefault="00000000">
      <w:pPr>
        <w:pBdr>
          <w:top w:val="nil"/>
          <w:left w:val="nil"/>
          <w:bottom w:val="nil"/>
          <w:right w:val="nil"/>
          <w:between w:val="nil"/>
        </w:pBdr>
        <w:tabs>
          <w:tab w:val="left" w:pos="380"/>
        </w:tabs>
        <w:spacing w:after="240"/>
        <w:ind w:left="384" w:hanging="384"/>
        <w:jc w:val="both"/>
        <w:rPr>
          <w:color w:val="000000"/>
          <w:lang w:val="en-US"/>
        </w:rPr>
      </w:pPr>
      <w:r w:rsidRPr="00F74228">
        <w:rPr>
          <w:color w:val="000000"/>
          <w:lang w:val="en-US"/>
        </w:rPr>
        <w:t>9.</w:t>
      </w:r>
      <w:r w:rsidRPr="00F74228">
        <w:rPr>
          <w:color w:val="000000"/>
          <w:lang w:val="en-US"/>
        </w:rPr>
        <w:tab/>
        <w:t xml:space="preserve">Liu W, Ma X, Zhou W. Adverse events of </w:t>
      </w:r>
      <w:proofErr w:type="spellStart"/>
      <w:r w:rsidRPr="00F74228">
        <w:rPr>
          <w:color w:val="000000"/>
          <w:lang w:val="en-US"/>
        </w:rPr>
        <w:t>benralizumab</w:t>
      </w:r>
      <w:proofErr w:type="spellEnd"/>
      <w:r w:rsidRPr="00F74228">
        <w:rPr>
          <w:color w:val="000000"/>
          <w:lang w:val="en-US"/>
        </w:rPr>
        <w:t xml:space="preserve"> in moderate to severe eosinophilic asthma. Medicine (Baltimore). 31 </w:t>
      </w:r>
      <w:proofErr w:type="spellStart"/>
      <w:r w:rsidRPr="00F74228">
        <w:rPr>
          <w:color w:val="000000"/>
          <w:lang w:val="en-US"/>
        </w:rPr>
        <w:t>mai</w:t>
      </w:r>
      <w:proofErr w:type="spellEnd"/>
      <w:r w:rsidRPr="00F74228">
        <w:rPr>
          <w:color w:val="000000"/>
          <w:lang w:val="en-US"/>
        </w:rPr>
        <w:t xml:space="preserve"> 2019;98(22):e15868. </w:t>
      </w:r>
    </w:p>
    <w:p w14:paraId="648B8CBC" w14:textId="77777777" w:rsidR="001C445D" w:rsidRPr="00F74228" w:rsidRDefault="00000000">
      <w:pPr>
        <w:pBdr>
          <w:top w:val="nil"/>
          <w:left w:val="nil"/>
          <w:bottom w:val="nil"/>
          <w:right w:val="nil"/>
          <w:between w:val="nil"/>
        </w:pBdr>
        <w:tabs>
          <w:tab w:val="left" w:pos="380"/>
        </w:tabs>
        <w:spacing w:after="240"/>
        <w:ind w:left="384" w:hanging="384"/>
        <w:jc w:val="both"/>
        <w:rPr>
          <w:color w:val="000000"/>
          <w:lang w:val="en-US"/>
        </w:rPr>
      </w:pPr>
      <w:r w:rsidRPr="00F74228">
        <w:rPr>
          <w:color w:val="000000"/>
          <w:lang w:val="en-US"/>
        </w:rPr>
        <w:t>10.</w:t>
      </w:r>
      <w:r w:rsidRPr="00F74228">
        <w:rPr>
          <w:color w:val="000000"/>
          <w:lang w:val="en-US"/>
        </w:rPr>
        <w:tab/>
        <w:t xml:space="preserve">Ueno M, Miyagawa I, </w:t>
      </w:r>
      <w:proofErr w:type="spellStart"/>
      <w:r w:rsidRPr="00F74228">
        <w:rPr>
          <w:color w:val="000000"/>
          <w:lang w:val="en-US"/>
        </w:rPr>
        <w:t>Aritomi</w:t>
      </w:r>
      <w:proofErr w:type="spellEnd"/>
      <w:r w:rsidRPr="00F74228">
        <w:rPr>
          <w:color w:val="000000"/>
          <w:lang w:val="en-US"/>
        </w:rPr>
        <w:t xml:space="preserve"> T, Kimura K, Iwata S, Hanami K, et al. Safety and effectiveness of mepolizumab therapy in remission induction therapy for eosinophilic granulomatosis with polyangiitis: a retrospective study. Arthritis Res Ther. 2022;24:159. </w:t>
      </w:r>
    </w:p>
    <w:p w14:paraId="58A2FA56" w14:textId="77777777" w:rsidR="001C445D" w:rsidRPr="00F74228" w:rsidRDefault="00000000">
      <w:pPr>
        <w:pBdr>
          <w:top w:val="nil"/>
          <w:left w:val="nil"/>
          <w:bottom w:val="nil"/>
          <w:right w:val="nil"/>
          <w:between w:val="nil"/>
        </w:pBdr>
        <w:tabs>
          <w:tab w:val="left" w:pos="380"/>
        </w:tabs>
        <w:spacing w:after="240"/>
        <w:ind w:left="384" w:hanging="384"/>
        <w:jc w:val="both"/>
        <w:rPr>
          <w:color w:val="000000"/>
          <w:lang w:val="en-US"/>
        </w:rPr>
      </w:pPr>
      <w:r w:rsidRPr="00F74228">
        <w:rPr>
          <w:color w:val="000000"/>
          <w:lang w:val="en-US"/>
        </w:rPr>
        <w:t>11.</w:t>
      </w:r>
      <w:r w:rsidRPr="00F74228">
        <w:rPr>
          <w:color w:val="000000"/>
          <w:lang w:val="en-US"/>
        </w:rPr>
        <w:tab/>
        <w:t xml:space="preserve">Chen Z, Andreev D, Oeser K, </w:t>
      </w:r>
      <w:proofErr w:type="spellStart"/>
      <w:r w:rsidRPr="00F74228">
        <w:rPr>
          <w:color w:val="000000"/>
          <w:lang w:val="en-US"/>
        </w:rPr>
        <w:t>Krljanac</w:t>
      </w:r>
      <w:proofErr w:type="spellEnd"/>
      <w:r w:rsidRPr="00F74228">
        <w:rPr>
          <w:color w:val="000000"/>
          <w:lang w:val="en-US"/>
        </w:rPr>
        <w:t xml:space="preserve"> B, Hueber A, </w:t>
      </w:r>
      <w:proofErr w:type="spellStart"/>
      <w:r w:rsidRPr="00F74228">
        <w:rPr>
          <w:color w:val="000000"/>
          <w:lang w:val="en-US"/>
        </w:rPr>
        <w:t>Kleyer</w:t>
      </w:r>
      <w:proofErr w:type="spellEnd"/>
      <w:r w:rsidRPr="00F74228">
        <w:rPr>
          <w:color w:val="000000"/>
          <w:lang w:val="en-US"/>
        </w:rPr>
        <w:t xml:space="preserve"> A, et al. Th2 and eosinophil responses suppress inflammatory arthritis. Nat </w:t>
      </w:r>
      <w:proofErr w:type="spellStart"/>
      <w:r w:rsidRPr="00F74228">
        <w:rPr>
          <w:color w:val="000000"/>
          <w:lang w:val="en-US"/>
        </w:rPr>
        <w:t>Commun</w:t>
      </w:r>
      <w:proofErr w:type="spellEnd"/>
      <w:r w:rsidRPr="00F74228">
        <w:rPr>
          <w:color w:val="000000"/>
          <w:lang w:val="en-US"/>
        </w:rPr>
        <w:t xml:space="preserve">. 7 </w:t>
      </w:r>
      <w:proofErr w:type="spellStart"/>
      <w:r w:rsidRPr="00F74228">
        <w:rPr>
          <w:color w:val="000000"/>
          <w:lang w:val="en-US"/>
        </w:rPr>
        <w:t>juin</w:t>
      </w:r>
      <w:proofErr w:type="spellEnd"/>
      <w:r w:rsidRPr="00F74228">
        <w:rPr>
          <w:color w:val="000000"/>
          <w:lang w:val="en-US"/>
        </w:rPr>
        <w:t xml:space="preserve"> 2016;7:11596. </w:t>
      </w:r>
    </w:p>
    <w:p w14:paraId="7F6AA09C" w14:textId="77777777" w:rsidR="001C445D" w:rsidRPr="00F74228" w:rsidRDefault="00000000">
      <w:pPr>
        <w:pBdr>
          <w:top w:val="nil"/>
          <w:left w:val="nil"/>
          <w:bottom w:val="nil"/>
          <w:right w:val="nil"/>
          <w:between w:val="nil"/>
        </w:pBdr>
        <w:tabs>
          <w:tab w:val="left" w:pos="380"/>
        </w:tabs>
        <w:spacing w:after="240"/>
        <w:ind w:left="384" w:hanging="384"/>
        <w:jc w:val="both"/>
        <w:rPr>
          <w:color w:val="000000"/>
          <w:lang w:val="en-US"/>
        </w:rPr>
      </w:pPr>
      <w:r w:rsidRPr="00F74228">
        <w:rPr>
          <w:color w:val="000000"/>
          <w:lang w:val="en-US"/>
        </w:rPr>
        <w:t>12.</w:t>
      </w:r>
      <w:r w:rsidRPr="00F74228">
        <w:rPr>
          <w:color w:val="000000"/>
          <w:lang w:val="en-US"/>
        </w:rPr>
        <w:tab/>
        <w:t xml:space="preserve">Jay R, Rodger J, </w:t>
      </w:r>
      <w:proofErr w:type="spellStart"/>
      <w:r w:rsidRPr="00F74228">
        <w:rPr>
          <w:color w:val="000000"/>
          <w:lang w:val="en-US"/>
        </w:rPr>
        <w:t>Zirwas</w:t>
      </w:r>
      <w:proofErr w:type="spellEnd"/>
      <w:r w:rsidRPr="00F74228">
        <w:rPr>
          <w:color w:val="000000"/>
          <w:lang w:val="en-US"/>
        </w:rPr>
        <w:t xml:space="preserve"> M. Review of dupilumab-associated inflammatory arthritis: An approach to clinical analysis and management. JAAD Case Rep. 6 </w:t>
      </w:r>
      <w:proofErr w:type="spellStart"/>
      <w:r w:rsidRPr="00F74228">
        <w:rPr>
          <w:color w:val="000000"/>
          <w:lang w:val="en-US"/>
        </w:rPr>
        <w:t>janv</w:t>
      </w:r>
      <w:proofErr w:type="spellEnd"/>
      <w:r w:rsidRPr="00F74228">
        <w:rPr>
          <w:color w:val="000000"/>
          <w:lang w:val="en-US"/>
        </w:rPr>
        <w:t xml:space="preserve"> 2022;21:14‑8. </w:t>
      </w:r>
    </w:p>
    <w:p w14:paraId="38A08C0A" w14:textId="77777777" w:rsidR="001C445D" w:rsidRPr="00F74228" w:rsidRDefault="00000000">
      <w:pPr>
        <w:pBdr>
          <w:top w:val="nil"/>
          <w:left w:val="nil"/>
          <w:bottom w:val="nil"/>
          <w:right w:val="nil"/>
          <w:between w:val="nil"/>
        </w:pBdr>
        <w:tabs>
          <w:tab w:val="left" w:pos="380"/>
        </w:tabs>
        <w:spacing w:after="240"/>
        <w:ind w:left="384" w:hanging="384"/>
        <w:jc w:val="both"/>
        <w:rPr>
          <w:color w:val="000000"/>
          <w:lang w:val="en-US"/>
        </w:rPr>
      </w:pPr>
      <w:r w:rsidRPr="00F74228">
        <w:rPr>
          <w:color w:val="000000"/>
          <w:lang w:val="en-US"/>
        </w:rPr>
        <w:t>13.</w:t>
      </w:r>
      <w:r w:rsidRPr="00F74228">
        <w:rPr>
          <w:color w:val="000000"/>
          <w:lang w:val="en-US"/>
        </w:rPr>
        <w:tab/>
        <w:t xml:space="preserve">To Y, Kono Y, Tsuzuki R, Kaneko H, To M. Rheumatoid arthritis-like polyarthralgia after the initiation of omalizumab treatment: A case series. J Allergy Clin Immunol </w:t>
      </w:r>
      <w:proofErr w:type="spellStart"/>
      <w:r w:rsidRPr="00F74228">
        <w:rPr>
          <w:color w:val="000000"/>
          <w:lang w:val="en-US"/>
        </w:rPr>
        <w:t>Pract</w:t>
      </w:r>
      <w:proofErr w:type="spellEnd"/>
      <w:r w:rsidRPr="00F74228">
        <w:rPr>
          <w:color w:val="000000"/>
          <w:lang w:val="en-US"/>
        </w:rPr>
        <w:t xml:space="preserve">. sept 2021;9(9):3510‑2. </w:t>
      </w:r>
    </w:p>
    <w:p w14:paraId="02292FC8" w14:textId="77777777" w:rsidR="001C445D" w:rsidRDefault="00000000">
      <w:pPr>
        <w:pBdr>
          <w:top w:val="nil"/>
          <w:left w:val="nil"/>
          <w:bottom w:val="nil"/>
          <w:right w:val="nil"/>
          <w:between w:val="nil"/>
        </w:pBdr>
        <w:tabs>
          <w:tab w:val="left" w:pos="380"/>
        </w:tabs>
        <w:spacing w:after="240"/>
        <w:ind w:left="384" w:hanging="384"/>
        <w:jc w:val="both"/>
        <w:rPr>
          <w:color w:val="000000"/>
        </w:rPr>
      </w:pPr>
      <w:r w:rsidRPr="00F74228">
        <w:rPr>
          <w:color w:val="000000"/>
          <w:lang w:val="en-US"/>
        </w:rPr>
        <w:t>14.</w:t>
      </w:r>
      <w:r w:rsidRPr="00F74228">
        <w:rPr>
          <w:color w:val="000000"/>
          <w:lang w:val="en-US"/>
        </w:rPr>
        <w:tab/>
      </w:r>
      <w:proofErr w:type="spellStart"/>
      <w:r w:rsidRPr="00F74228">
        <w:rPr>
          <w:color w:val="000000"/>
          <w:lang w:val="en-US"/>
        </w:rPr>
        <w:t>Tsitos</w:t>
      </w:r>
      <w:proofErr w:type="spellEnd"/>
      <w:r w:rsidRPr="00F74228">
        <w:rPr>
          <w:color w:val="000000"/>
          <w:lang w:val="en-US"/>
        </w:rPr>
        <w:t xml:space="preserve"> S, Niederauer LC, Albert </w:t>
      </w:r>
      <w:proofErr w:type="spellStart"/>
      <w:r w:rsidRPr="00F74228">
        <w:rPr>
          <w:color w:val="000000"/>
          <w:lang w:val="en-US"/>
        </w:rPr>
        <w:t>i</w:t>
      </w:r>
      <w:proofErr w:type="spellEnd"/>
      <w:r w:rsidRPr="00F74228">
        <w:rPr>
          <w:color w:val="000000"/>
          <w:lang w:val="en-US"/>
        </w:rPr>
        <w:t xml:space="preserve"> </w:t>
      </w:r>
      <w:proofErr w:type="spellStart"/>
      <w:r w:rsidRPr="00F74228">
        <w:rPr>
          <w:color w:val="000000"/>
          <w:lang w:val="en-US"/>
        </w:rPr>
        <w:t>Gracenea</w:t>
      </w:r>
      <w:proofErr w:type="spellEnd"/>
      <w:r w:rsidRPr="00F74228">
        <w:rPr>
          <w:color w:val="000000"/>
          <w:lang w:val="en-US"/>
        </w:rPr>
        <w:t xml:space="preserve"> P, Mueller J, Straube A, Von Baumgarten L. Case Report: Drug-Induced (Neuro) Sarcoidosis-Like Lesion Under IL4 Receptor Blockade With Dupilumab. </w:t>
      </w:r>
      <w:r>
        <w:rPr>
          <w:color w:val="000000"/>
        </w:rPr>
        <w:t xml:space="preserve">Front </w:t>
      </w:r>
      <w:proofErr w:type="spellStart"/>
      <w:r>
        <w:rPr>
          <w:color w:val="000000"/>
        </w:rPr>
        <w:t>Neurol</w:t>
      </w:r>
      <w:proofErr w:type="spellEnd"/>
      <w:r>
        <w:rPr>
          <w:color w:val="000000"/>
        </w:rPr>
        <w:t xml:space="preserve">. 20 juin 2022;13:881144. </w:t>
      </w:r>
    </w:p>
    <w:p w14:paraId="011ABE76" w14:textId="77777777" w:rsidR="001C445D" w:rsidRDefault="00000000">
      <w:pPr>
        <w:jc w:val="both"/>
      </w:pPr>
      <w:r>
        <w:fldChar w:fldCharType="end"/>
      </w:r>
    </w:p>
    <w:sectPr w:rsidR="001C445D">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489D"/>
    <w:multiLevelType w:val="multilevel"/>
    <w:tmpl w:val="FF9A54D8"/>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4173C4"/>
    <w:multiLevelType w:val="multilevel"/>
    <w:tmpl w:val="11787B06"/>
    <w:lvl w:ilvl="0">
      <w:start w:val="1"/>
      <w:numFmt w:val="decimal"/>
      <w:lvlText w:val="%1)"/>
      <w:lvlJc w:val="left"/>
      <w:pPr>
        <w:ind w:left="720" w:hanging="360"/>
      </w:pPr>
      <w:rPr>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F95D59"/>
    <w:multiLevelType w:val="multilevel"/>
    <w:tmpl w:val="C7A2273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8D91B1D"/>
    <w:multiLevelType w:val="multilevel"/>
    <w:tmpl w:val="AADADDDC"/>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5156776"/>
    <w:multiLevelType w:val="multilevel"/>
    <w:tmpl w:val="E25A5330"/>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0A97BAB"/>
    <w:multiLevelType w:val="multilevel"/>
    <w:tmpl w:val="294EF0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075620842">
    <w:abstractNumId w:val="2"/>
  </w:num>
  <w:num w:numId="2" w16cid:durableId="1044526629">
    <w:abstractNumId w:val="1"/>
  </w:num>
  <w:num w:numId="3" w16cid:durableId="1881673436">
    <w:abstractNumId w:val="0"/>
  </w:num>
  <w:num w:numId="4" w16cid:durableId="1379940461">
    <w:abstractNumId w:val="5"/>
  </w:num>
  <w:num w:numId="5" w16cid:durableId="1276791435">
    <w:abstractNumId w:val="3"/>
  </w:num>
  <w:num w:numId="6" w16cid:durableId="1702827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45D"/>
    <w:rsid w:val="001C445D"/>
    <w:rsid w:val="008E70C7"/>
    <w:rsid w:val="00F742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F8ECF"/>
  <w15:docId w15:val="{7C66C937-4806-744A-AF49-06C05525B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1D2"/>
  </w:style>
  <w:style w:type="paragraph" w:styleId="Titre1">
    <w:name w:val="heading 1"/>
    <w:basedOn w:val="Normal"/>
    <w:next w:val="Normal"/>
    <w:link w:val="Titre1Car"/>
    <w:uiPriority w:val="9"/>
    <w:qFormat/>
    <w:rsid w:val="00BC11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aragraphedeliste">
    <w:name w:val="List Paragraph"/>
    <w:basedOn w:val="Normal"/>
    <w:uiPriority w:val="34"/>
    <w:qFormat/>
    <w:rsid w:val="00BC11D2"/>
    <w:pPr>
      <w:ind w:left="720"/>
      <w:contextualSpacing/>
    </w:pPr>
  </w:style>
  <w:style w:type="character" w:styleId="Marquedecommentaire">
    <w:name w:val="annotation reference"/>
    <w:basedOn w:val="Policepardfaut"/>
    <w:uiPriority w:val="99"/>
    <w:semiHidden/>
    <w:unhideWhenUsed/>
    <w:rsid w:val="00BC11D2"/>
    <w:rPr>
      <w:sz w:val="16"/>
      <w:szCs w:val="16"/>
    </w:rPr>
  </w:style>
  <w:style w:type="paragraph" w:styleId="Commentaire">
    <w:name w:val="annotation text"/>
    <w:basedOn w:val="Normal"/>
    <w:link w:val="CommentaireCar"/>
    <w:uiPriority w:val="99"/>
    <w:semiHidden/>
    <w:unhideWhenUsed/>
    <w:rsid w:val="00BC11D2"/>
    <w:rPr>
      <w:sz w:val="20"/>
      <w:szCs w:val="20"/>
    </w:rPr>
  </w:style>
  <w:style w:type="character" w:customStyle="1" w:styleId="CommentaireCar">
    <w:name w:val="Commentaire Car"/>
    <w:basedOn w:val="Policepardfaut"/>
    <w:link w:val="Commentaire"/>
    <w:uiPriority w:val="99"/>
    <w:semiHidden/>
    <w:rsid w:val="00BC11D2"/>
    <w:rPr>
      <w:sz w:val="20"/>
      <w:szCs w:val="20"/>
    </w:rPr>
  </w:style>
  <w:style w:type="character" w:customStyle="1" w:styleId="Titre1Car">
    <w:name w:val="Titre 1 Car"/>
    <w:basedOn w:val="Policepardfaut"/>
    <w:link w:val="Titre1"/>
    <w:uiPriority w:val="9"/>
    <w:rsid w:val="00BC11D2"/>
    <w:rPr>
      <w:rFonts w:asciiTheme="majorHAnsi" w:eastAsiaTheme="majorEastAsia" w:hAnsiTheme="majorHAnsi" w:cstheme="majorBidi"/>
      <w:color w:val="2F5496" w:themeColor="accent1" w:themeShade="BF"/>
      <w:sz w:val="32"/>
      <w:szCs w:val="32"/>
    </w:rPr>
  </w:style>
  <w:style w:type="paragraph" w:customStyle="1" w:styleId="Bibliographie1">
    <w:name w:val="Bibliographie1"/>
    <w:basedOn w:val="Normal"/>
    <w:link w:val="BibliographyCar"/>
    <w:rsid w:val="001F0B16"/>
    <w:pPr>
      <w:tabs>
        <w:tab w:val="left" w:pos="380"/>
      </w:tabs>
      <w:spacing w:after="240"/>
      <w:ind w:left="384" w:hanging="384"/>
      <w:jc w:val="both"/>
    </w:pPr>
  </w:style>
  <w:style w:type="character" w:customStyle="1" w:styleId="BibliographyCar">
    <w:name w:val="Bibliography Car"/>
    <w:basedOn w:val="Policepardfaut"/>
    <w:link w:val="Bibliographie1"/>
    <w:rsid w:val="001F0B16"/>
  </w:style>
  <w:style w:type="character" w:styleId="Lienhypertexte">
    <w:name w:val="Hyperlink"/>
    <w:basedOn w:val="Policepardfaut"/>
    <w:uiPriority w:val="99"/>
    <w:unhideWhenUsed/>
    <w:rsid w:val="00F85B6A"/>
    <w:rPr>
      <w:color w:val="0563C1" w:themeColor="hyperlink"/>
      <w:u w:val="single"/>
    </w:rPr>
  </w:style>
  <w:style w:type="character" w:styleId="Mentionnonrsolue">
    <w:name w:val="Unresolved Mention"/>
    <w:basedOn w:val="Policepardfaut"/>
    <w:uiPriority w:val="99"/>
    <w:semiHidden/>
    <w:unhideWhenUsed/>
    <w:rsid w:val="00F85B6A"/>
    <w:rPr>
      <w:color w:val="605E5C"/>
      <w:shd w:val="clear" w:color="auto" w:fill="E1DFDD"/>
    </w:rPr>
  </w:style>
  <w:style w:type="character" w:styleId="Lienhypertextesuivivisit">
    <w:name w:val="FollowedHyperlink"/>
    <w:basedOn w:val="Policepardfaut"/>
    <w:uiPriority w:val="99"/>
    <w:semiHidden/>
    <w:unhideWhenUsed/>
    <w:rsid w:val="00F85B6A"/>
    <w:rPr>
      <w:color w:val="954F72" w:themeColor="followedHyperlink"/>
      <w:u w:val="single"/>
    </w:rPr>
  </w:style>
  <w:style w:type="paragraph" w:styleId="Rvision">
    <w:name w:val="Revision"/>
    <w:hidden/>
    <w:uiPriority w:val="99"/>
    <w:semiHidden/>
    <w:rsid w:val="007A6893"/>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5Ea0CRupTdztP5DAIQrDRlynGQ==">CgMxLjA4AHIhMVlVRHMzSFQ2UEtFRFl3Sy1NUjE0OWlPSjJVc1hHYklJ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1113</Words>
  <Characters>6125</Characters>
  <Application>Microsoft Office Word</Application>
  <DocSecurity>0</DocSecurity>
  <Lines>51</Lines>
  <Paragraphs>14</Paragraphs>
  <ScaleCrop>false</ScaleCrop>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charles dufrene</cp:lastModifiedBy>
  <cp:revision>2</cp:revision>
  <dcterms:created xsi:type="dcterms:W3CDTF">2023-12-07T14:44:00Z</dcterms:created>
  <dcterms:modified xsi:type="dcterms:W3CDTF">2023-12-07T14:44:00Z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id="1tdUuuah"/&gt;&lt;style id="http://www.zotero.org/styles/vancouver" locale="fr-FR"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