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345AE2" w14:textId="15AC340A" w:rsidR="00C24186" w:rsidRDefault="004E7BBB" w:rsidP="004E7BBB">
      <w:pPr>
        <w:jc w:val="center"/>
        <w:rPr>
          <w:b/>
          <w:bCs/>
          <w:lang w:val="fr-FR"/>
        </w:rPr>
      </w:pPr>
      <w:r w:rsidRPr="004E7BBB">
        <w:rPr>
          <w:b/>
          <w:bCs/>
          <w:lang w:val="fr-FR"/>
        </w:rPr>
        <w:t xml:space="preserve">Synopsis </w:t>
      </w:r>
    </w:p>
    <w:p w14:paraId="334FFDA9" w14:textId="1EC2FDCF" w:rsidR="004E7BBB" w:rsidRDefault="004E7BBB" w:rsidP="004E7BBB">
      <w:pPr>
        <w:jc w:val="center"/>
        <w:rPr>
          <w:b/>
          <w:bCs/>
          <w:lang w:val="fr-FR"/>
        </w:rPr>
      </w:pPr>
      <w:r w:rsidRPr="00596E52">
        <w:rPr>
          <w:b/>
        </w:rPr>
        <w:t>« Impact des traitements immunosuppresseurs sur les atteintes séreuses du lupus systémique »</w:t>
      </w:r>
    </w:p>
    <w:p w14:paraId="7E0B1757" w14:textId="04A2E93B" w:rsidR="004E7BBB" w:rsidRDefault="004E7BBB" w:rsidP="004E7BBB">
      <w:pPr>
        <w:jc w:val="center"/>
        <w:rPr>
          <w:b/>
          <w:bCs/>
          <w:lang w:val="fr-FR"/>
        </w:rPr>
      </w:pPr>
      <w:r>
        <w:rPr>
          <w:b/>
          <w:bCs/>
          <w:lang w:val="fr-FR"/>
        </w:rPr>
        <w:t>Protocole SERILUP</w:t>
      </w:r>
    </w:p>
    <w:p w14:paraId="598475A0" w14:textId="77777777" w:rsidR="004E7BBB" w:rsidRDefault="004E7BBB" w:rsidP="004E7BBB">
      <w:pPr>
        <w:jc w:val="center"/>
        <w:rPr>
          <w:b/>
          <w:bCs/>
          <w:lang w:val="fr-FR"/>
        </w:rPr>
      </w:pPr>
    </w:p>
    <w:p w14:paraId="50395764" w14:textId="2C4E5610" w:rsidR="004E7BBB" w:rsidRDefault="004E7BBB" w:rsidP="004E7BBB">
      <w:pPr>
        <w:pStyle w:val="ListParagraph"/>
        <w:numPr>
          <w:ilvl w:val="0"/>
          <w:numId w:val="1"/>
        </w:numPr>
        <w:rPr>
          <w:b/>
          <w:bCs/>
          <w:lang w:val="fr-FR"/>
        </w:rPr>
      </w:pPr>
      <w:r>
        <w:rPr>
          <w:b/>
          <w:bCs/>
          <w:lang w:val="fr-FR"/>
        </w:rPr>
        <w:t>Investigateurs principaux :</w:t>
      </w:r>
    </w:p>
    <w:p w14:paraId="25BDE6E2" w14:textId="7C9401FA" w:rsidR="004E7BBB" w:rsidRDefault="004E7BBB" w:rsidP="004E7BBB">
      <w:pPr>
        <w:pStyle w:val="ListParagraph"/>
        <w:numPr>
          <w:ilvl w:val="0"/>
          <w:numId w:val="3"/>
        </w:numPr>
        <w:jc w:val="both"/>
      </w:pPr>
      <w:r w:rsidRPr="00596E52">
        <w:t>Dr Marc SCHERLINGER, service de rhumatologie, CHU de Strasbourg</w:t>
      </w:r>
    </w:p>
    <w:p w14:paraId="06118288" w14:textId="6B1002F3" w:rsidR="004E7BBB" w:rsidRDefault="004E7BBB" w:rsidP="004E7BBB">
      <w:pPr>
        <w:jc w:val="both"/>
      </w:pPr>
      <w:hyperlink r:id="rId5" w:history="1">
        <w:r w:rsidRPr="00AB1648">
          <w:rPr>
            <w:rStyle w:val="Hyperlink"/>
          </w:rPr>
          <w:t>Marc.scherlinger@chru-strasbourg.fr</w:t>
        </w:r>
      </w:hyperlink>
    </w:p>
    <w:p w14:paraId="3DDA46B3" w14:textId="77777777" w:rsidR="004E7BBB" w:rsidRDefault="004E7BBB" w:rsidP="004E7BBB">
      <w:pPr>
        <w:rPr>
          <w:b/>
          <w:bCs/>
          <w:lang w:val="fr-FR"/>
        </w:rPr>
      </w:pPr>
    </w:p>
    <w:p w14:paraId="79D71312" w14:textId="77D4DCCD" w:rsidR="004E7BBB" w:rsidRPr="00596E52" w:rsidRDefault="004E7BBB" w:rsidP="004E7BBB">
      <w:pPr>
        <w:pStyle w:val="ListParagraph"/>
        <w:numPr>
          <w:ilvl w:val="0"/>
          <w:numId w:val="2"/>
        </w:numPr>
        <w:jc w:val="both"/>
      </w:pPr>
      <w:r w:rsidRPr="00596E52">
        <w:t>Élodie FELS, interne de rhumatologie</w:t>
      </w:r>
      <w:r>
        <w:t>, CHU de Strasbourg; elodie.fels@chru-strasbourg.fr</w:t>
      </w:r>
    </w:p>
    <w:p w14:paraId="3F51FF6F" w14:textId="77777777" w:rsidR="004E7BBB" w:rsidRPr="00596E52" w:rsidRDefault="004E7BBB" w:rsidP="004E7BBB">
      <w:pPr>
        <w:jc w:val="both"/>
      </w:pPr>
    </w:p>
    <w:p w14:paraId="0A14B2B7" w14:textId="345DEC25" w:rsidR="004E7BBB" w:rsidRPr="00B4409A" w:rsidRDefault="004E7BBB" w:rsidP="004E7BBB">
      <w:pPr>
        <w:pStyle w:val="ListParagraph"/>
        <w:numPr>
          <w:ilvl w:val="0"/>
          <w:numId w:val="1"/>
        </w:numPr>
        <w:rPr>
          <w:b/>
          <w:bCs/>
        </w:rPr>
      </w:pPr>
      <w:r>
        <w:rPr>
          <w:b/>
          <w:bCs/>
        </w:rPr>
        <w:t xml:space="preserve">Rationel de l’étude : </w:t>
      </w:r>
    </w:p>
    <w:p w14:paraId="10464EA8" w14:textId="77777777" w:rsidR="004E7BBB" w:rsidRPr="00596E52" w:rsidRDefault="004E7BBB" w:rsidP="004E7BBB">
      <w:pPr>
        <w:jc w:val="both"/>
        <w:rPr>
          <w:bCs/>
        </w:rPr>
      </w:pPr>
      <w:r w:rsidRPr="00596E52">
        <w:rPr>
          <w:bCs/>
        </w:rPr>
        <w:t xml:space="preserve">Le lupus érythémateux systémique (LES) est une maladie auto-immune chronique caractérisée par une production excessive d'auto-anticorps dirigés contre des constituants cellulaires normaux, entraînant une inflammation systémique et des dommages tissulaires multiorganiques.  La prise en charge du lupus érythémateux systémique présente plusieurs défis majeurs. Premièrement, la variabilité clinique du LES nécessite une approche personnalisée pour chaque patient, ce qui complique l'élaboration de lignes directrices de traitement universelles. Deuxièmement, les traitements actuels, principalement les corticostéroïdes et les immunosuppresseurs sont associés à des effets secondaires significatifs, limitant leur utilisation à long terme. Troisièmement, la surveillance et la gestion des comorbidités, telles que les maladies cardiovasculaires et les infections, ajoutent une couche de complexité à la prise en charge. </w:t>
      </w:r>
    </w:p>
    <w:p w14:paraId="74443F7F" w14:textId="17C0D7FE" w:rsidR="004E7BBB" w:rsidRDefault="004E7BBB" w:rsidP="004E7BBB">
      <w:pPr>
        <w:jc w:val="both"/>
        <w:rPr>
          <w:bCs/>
        </w:rPr>
      </w:pPr>
      <w:r w:rsidRPr="00596E52">
        <w:rPr>
          <w:bCs/>
        </w:rPr>
        <w:t>Le traitement repose généralement sur l’hydroxycholoroquine et un immunosuppresseur, dont le choix de ce dernier dépend habituellement des manifestations cliniques</w:t>
      </w:r>
      <w:r>
        <w:rPr>
          <w:bCs/>
        </w:rPr>
        <w:t xml:space="preserve"> </w:t>
      </w:r>
      <w:r w:rsidRPr="008A02D4">
        <w:rPr>
          <w:lang w:eastAsia="en-GB"/>
        </w:rPr>
        <w:fldChar w:fldCharType="begin"/>
      </w:r>
      <w:r w:rsidR="00E573FD">
        <w:rPr>
          <w:lang w:eastAsia="en-GB"/>
        </w:rPr>
        <w:instrText xml:space="preserve"> ADDIN ZOTERO_ITEM CSL_CITATION {"citationID":"nZIN20FY","properties":{"formattedCitation":"[1,2]","plainCitation":"[1,2]","noteIndex":0},"citationItems":[{"id":12049,"uris":["http://zotero.org/users/2826558/items/KBUYKV92"],"itemData":{"id":12049,"type":"article-journal","container-title":"The Lancet","DOI":"10.1016/S0140-6736(24)00398-2","ISSN":"0140-6736, 1474-547X","issue":"10441","journalAbbreviation":"The Lancet","language":"English","note":"publisher: Elsevier\nPMID: 38642569","page":"2326-2338","source":"www.thelancet.com","title":"Systemic lupus erythematosus","volume":"403","author":[{"family":"Hoi","given":"Alberta"},{"family":"Igel","given":"Talia"},{"family":"Mok","given":"Chi Chiu"},{"family":"Arnaud","given":"Laurent"}],"issued":{"date-parts":[["2024",5,25]]}}},{"id":11310,"uris":["http://zotero.org/users/2826558/items/3T97TYMJ"],"itemData":{"id":11310,"type":"article-journal","abstract":"Objective. To establish agreement on systemic lupus erythematosus (SLE) treatment.\nMethods. SLE experts (n 5 69) were e-mailed scenarios and indicated preferred treatments. Algorithms were constructed and agreement determined (‡50% respondents indicating ‡70% agreement).\nResults. Initially, 54% (n 5 37) responded suggesting treatment for scenarios; 13 experts rated agreement with scenarios. Fourteen of 16 scenarios had agreement as follows: discoid lupus: ﬁrst-line therapy was topical agents and hydroxychloroquine and/or glucocorticoids then azathioprine and subsequently mycophenolate (mofetil); uncomplicated cutaneous vasculitis: initial treatment was glucocorticoids 6 hydroxychloroquine 6 methotrexate, followed by azathioprine or mycophenolate and then cyclophosphamide; arthritis: initial therapy was hydroxychloroquine and/or glucocorticoids, then methotrexate and subsequently rituximab; pericarditis: ﬁrst-line therapy was nonsteroidal antiinﬂammatory drugs, then glucocorticoids with/without hydroxychloroquine, then azathioprine, mycophenolate, or methotrexate and ﬁnally belimumab or rituximab, and/or a pericardial window; interstitial lung disease/alveolitis: induction was glucocorticoids and mycophenolate or cyclophosphamide, then rituximab or intravenous gamma globulin (IVIG), and maintenance followed with azathioprine or mycophenolate; pulmonary hypertension: glucocorticoids and mycophenolate or cyclophosphamide and an endothelin receptor antagonist were initial therapies, subsequent treatments were phosphodiesterase-5 inhibitors and then prostanoids and rituximab; antiphospholipid antibody syndrome: standard anticoagulation with/ without hydroxychloroquine, then a thrombin inhibitor for venous thrombosis, versus adding aspirin or platelet inhibition drugs for arterial events; mononeuritis multiplex and central nervous system vasculitis: ﬁrst-line therapy was glucocorticoids and cyclophosphamide followed by maintenance with azathioprine or mycophenolate, and then rituximab, IVIG, or plasmapheresis; and serious lupus nephritis: ﬁrst-line therapy was glucocorticoids and mycophenolate, then cyclophosphamide then rituximab.\nConclusion. We established variable agreement on treatment approaches. For some treatment decisions there was good agreement between experts even if no randomized controlled trial data were available.","container-title":"Arthritis Care &amp; Research","DOI":"10.1002/acr.22589","ISSN":"2151-464X, 2151-4658","issue":"9","journalAbbreviation":"Arthritis Care &amp; Research","language":"en","page":"1237-1245","source":"DOI.org (Crossref)","title":"Treatment Algorithms in Systemic Lupus Erythematosus","volume":"67","author":[{"family":"Muangchan","given":"Chayawee"},{"family":"Van Vollenhoven","given":"Ronald F."},{"family":"Bernatsky","given":"Sasha R."},{"family":"Smith","given":"C. Douglas"},{"family":"Hudson","given":"Marie"},{"family":"Inanç","given":"Murat"},{"family":"Rothfield","given":"Naomi F."},{"family":"Nash","given":"Peter T."},{"family":"Furie","given":"Richard A."},{"family":"Senécal","given":"Jean</w:instrText>
      </w:r>
      <w:r w:rsidR="00E573FD">
        <w:rPr>
          <w:rFonts w:ascii="Cambria Math" w:hAnsi="Cambria Math" w:cs="Cambria Math"/>
          <w:lang w:eastAsia="en-GB"/>
        </w:rPr>
        <w:instrText>‐</w:instrText>
      </w:r>
      <w:r w:rsidR="00E573FD">
        <w:rPr>
          <w:lang w:eastAsia="en-GB"/>
        </w:rPr>
        <w:instrText>Luc"},{"family":"Chandran","given":"Vinod"},{"family":"Burgos</w:instrText>
      </w:r>
      <w:r w:rsidR="00E573FD">
        <w:rPr>
          <w:rFonts w:ascii="Cambria Math" w:hAnsi="Cambria Math" w:cs="Cambria Math"/>
          <w:lang w:eastAsia="en-GB"/>
        </w:rPr>
        <w:instrText>‐</w:instrText>
      </w:r>
      <w:r w:rsidR="00E573FD">
        <w:rPr>
          <w:lang w:eastAsia="en-GB"/>
        </w:rPr>
        <w:instrText>Vargas","given":"Ruben"},{"family":"Ramsey</w:instrText>
      </w:r>
      <w:r w:rsidR="00E573FD">
        <w:rPr>
          <w:rFonts w:ascii="Cambria Math" w:hAnsi="Cambria Math" w:cs="Cambria Math"/>
          <w:lang w:eastAsia="en-GB"/>
        </w:rPr>
        <w:instrText>‐</w:instrText>
      </w:r>
      <w:r w:rsidR="00E573FD">
        <w:rPr>
          <w:lang w:eastAsia="en-GB"/>
        </w:rPr>
        <w:instrText xml:space="preserve">Goldman","given":"Rosalind"},{"family":"Pope","given":"Janet E."}],"issued":{"date-parts":[["2015",9]]}}}],"schema":"https://github.com/citation-style-language/schema/raw/master/csl-citation.json"} </w:instrText>
      </w:r>
      <w:r w:rsidRPr="008A02D4">
        <w:rPr>
          <w:lang w:eastAsia="en-GB"/>
        </w:rPr>
        <w:fldChar w:fldCharType="separate"/>
      </w:r>
      <w:r w:rsidR="00E573FD">
        <w:rPr>
          <w:lang w:eastAsia="en-GB"/>
        </w:rPr>
        <w:t>[1,2]</w:t>
      </w:r>
      <w:r w:rsidRPr="008A02D4">
        <w:rPr>
          <w:lang w:eastAsia="en-GB"/>
        </w:rPr>
        <w:fldChar w:fldCharType="end"/>
      </w:r>
      <w:r w:rsidRPr="00596E52">
        <w:rPr>
          <w:bCs/>
        </w:rPr>
        <w:t>. Les manifestations séreuses ne sont pas rares et peuvent être récurrentes et invalidantes. Toutefois il n’existe que peu de données publiées sur l’efficacité des immunosuppresseurs les atteintes séreuses permettant de guider le clinicien dans son choix thérapeutique et informer les recommandations de prise en charge.</w:t>
      </w:r>
    </w:p>
    <w:p w14:paraId="7DD0EE95" w14:textId="77777777" w:rsidR="004E7BBB" w:rsidRDefault="004E7BBB" w:rsidP="004E7BBB">
      <w:pPr>
        <w:jc w:val="both"/>
        <w:rPr>
          <w:bCs/>
        </w:rPr>
      </w:pPr>
    </w:p>
    <w:p w14:paraId="51D15D7C" w14:textId="04158BC4" w:rsidR="004E7BBB" w:rsidRPr="004E7BBB" w:rsidRDefault="004E7BBB" w:rsidP="004E7BBB">
      <w:pPr>
        <w:pStyle w:val="ListParagraph"/>
        <w:numPr>
          <w:ilvl w:val="0"/>
          <w:numId w:val="1"/>
        </w:numPr>
        <w:jc w:val="both"/>
        <w:rPr>
          <w:bCs/>
        </w:rPr>
      </w:pPr>
      <w:r>
        <w:rPr>
          <w:bCs/>
        </w:rPr>
        <w:t xml:space="preserve">Objectifs de l’étude : </w:t>
      </w:r>
    </w:p>
    <w:p w14:paraId="055C5727" w14:textId="7B44397E" w:rsidR="004E7BBB" w:rsidRPr="004E7BBB" w:rsidRDefault="004E7BBB" w:rsidP="004E7BBB">
      <w:pPr>
        <w:pStyle w:val="ListParagraph"/>
        <w:numPr>
          <w:ilvl w:val="0"/>
          <w:numId w:val="2"/>
        </w:numPr>
      </w:pPr>
      <w:r w:rsidRPr="004E7BBB">
        <w:t>Décrire les caractéristiques des patients atteints d’atteinte séreuse de lupus systémique.</w:t>
      </w:r>
    </w:p>
    <w:p w14:paraId="6A776DDD" w14:textId="5E1CCCD8" w:rsidR="004E7BBB" w:rsidRDefault="004E7BBB" w:rsidP="004E7BBB">
      <w:pPr>
        <w:pStyle w:val="ListParagraph"/>
        <w:numPr>
          <w:ilvl w:val="0"/>
          <w:numId w:val="2"/>
        </w:numPr>
      </w:pPr>
      <w:r w:rsidRPr="004E7BBB">
        <w:t>Décrire l’efficacité des traitements immunosuppresseurs/immunomodulateurs sur les atteintes séreuses du lupus systémique.</w:t>
      </w:r>
    </w:p>
    <w:p w14:paraId="137DFCCD" w14:textId="77777777" w:rsidR="004E7BBB" w:rsidRDefault="004E7BBB" w:rsidP="004E7BBB"/>
    <w:p w14:paraId="1A9F046D" w14:textId="30E92A77" w:rsidR="004E7BBB" w:rsidRDefault="004E7BBB" w:rsidP="004E7BBB">
      <w:pPr>
        <w:pStyle w:val="ListParagraph"/>
        <w:numPr>
          <w:ilvl w:val="0"/>
          <w:numId w:val="1"/>
        </w:numPr>
      </w:pPr>
      <w:r>
        <w:t xml:space="preserve">Méthodologie : </w:t>
      </w:r>
    </w:p>
    <w:p w14:paraId="6D6DBC4F" w14:textId="22C06426" w:rsidR="004E7BBB" w:rsidRPr="00B4409A" w:rsidRDefault="004E7BBB" w:rsidP="004E7BBB">
      <w:pPr>
        <w:pStyle w:val="ListParagraph"/>
        <w:numPr>
          <w:ilvl w:val="0"/>
          <w:numId w:val="6"/>
        </w:numPr>
        <w:spacing w:line="276" w:lineRule="auto"/>
        <w:jc w:val="both"/>
        <w:rPr>
          <w:rFonts w:cstheme="minorHAnsi"/>
          <w:i/>
          <w:iCs/>
          <w:color w:val="000000"/>
          <w:u w:val="single"/>
        </w:rPr>
      </w:pPr>
      <w:r>
        <w:rPr>
          <w:rFonts w:cstheme="minorHAnsi"/>
          <w:i/>
          <w:iCs/>
          <w:color w:val="000000"/>
          <w:u w:val="single"/>
        </w:rPr>
        <w:t xml:space="preserve">Design de l’étude </w:t>
      </w:r>
    </w:p>
    <w:p w14:paraId="0BF9B3DA" w14:textId="4CFAD5BD" w:rsidR="004E7BBB" w:rsidRPr="004E7BBB" w:rsidRDefault="004E7BBB" w:rsidP="004E7BBB">
      <w:pPr>
        <w:spacing w:line="276" w:lineRule="auto"/>
        <w:jc w:val="both"/>
        <w:rPr>
          <w:rFonts w:cstheme="minorHAnsi"/>
          <w:color w:val="000000"/>
        </w:rPr>
      </w:pPr>
      <w:r w:rsidRPr="004E7BBB">
        <w:rPr>
          <w:rFonts w:cstheme="minorHAnsi"/>
          <w:color w:val="000000"/>
        </w:rPr>
        <w:t xml:space="preserve">Etude observationnelle rétrospective </w:t>
      </w:r>
    </w:p>
    <w:p w14:paraId="1F930766" w14:textId="77777777" w:rsidR="004E7BBB" w:rsidRPr="004E7BBB" w:rsidRDefault="004E7BBB" w:rsidP="004E7BBB">
      <w:pPr>
        <w:spacing w:line="276" w:lineRule="auto"/>
        <w:jc w:val="both"/>
        <w:rPr>
          <w:rFonts w:cstheme="minorHAnsi"/>
          <w:i/>
          <w:iCs/>
          <w:color w:val="000000"/>
          <w:u w:val="single"/>
        </w:rPr>
      </w:pPr>
    </w:p>
    <w:p w14:paraId="3A0E318B" w14:textId="691D82C1" w:rsidR="004E7BBB" w:rsidRPr="00815373" w:rsidRDefault="004E7BBB" w:rsidP="004E7BBB">
      <w:pPr>
        <w:pStyle w:val="ListParagraph"/>
        <w:numPr>
          <w:ilvl w:val="0"/>
          <w:numId w:val="6"/>
        </w:numPr>
        <w:spacing w:line="276" w:lineRule="auto"/>
        <w:jc w:val="both"/>
        <w:rPr>
          <w:rFonts w:cstheme="minorHAnsi"/>
          <w:i/>
          <w:iCs/>
          <w:color w:val="000000"/>
          <w:u w:val="single"/>
        </w:rPr>
      </w:pPr>
      <w:r w:rsidRPr="00815373">
        <w:rPr>
          <w:rFonts w:cstheme="minorHAnsi"/>
          <w:i/>
          <w:iCs/>
          <w:color w:val="000000"/>
          <w:u w:val="single"/>
        </w:rPr>
        <w:t>Patients</w:t>
      </w:r>
    </w:p>
    <w:p w14:paraId="4D8F72F1" w14:textId="77777777" w:rsidR="004E7BBB" w:rsidRPr="00815373" w:rsidRDefault="004E7BBB" w:rsidP="004E7BBB">
      <w:pPr>
        <w:spacing w:line="276" w:lineRule="auto"/>
        <w:jc w:val="both"/>
        <w:rPr>
          <w:rFonts w:cstheme="minorHAnsi"/>
          <w:b/>
          <w:bCs/>
          <w:i/>
          <w:iCs/>
          <w:color w:val="000000"/>
        </w:rPr>
      </w:pPr>
      <w:r w:rsidRPr="00815373">
        <w:rPr>
          <w:rFonts w:cstheme="minorHAnsi"/>
          <w:b/>
          <w:bCs/>
          <w:i/>
          <w:iCs/>
          <w:color w:val="000000"/>
        </w:rPr>
        <w:t>Critères d’inclusion</w:t>
      </w:r>
    </w:p>
    <w:p w14:paraId="13397267" w14:textId="77777777" w:rsidR="004E7BBB" w:rsidRPr="00E42C9E" w:rsidRDefault="004E7BBB" w:rsidP="004E7BBB">
      <w:pPr>
        <w:pStyle w:val="ListParagraph"/>
        <w:numPr>
          <w:ilvl w:val="0"/>
          <w:numId w:val="4"/>
        </w:numPr>
        <w:spacing w:line="276" w:lineRule="auto"/>
        <w:jc w:val="both"/>
        <w:rPr>
          <w:rFonts w:cstheme="minorHAnsi"/>
          <w:color w:val="000000"/>
        </w:rPr>
      </w:pPr>
      <w:r w:rsidRPr="00E42C9E">
        <w:rPr>
          <w:rFonts w:cstheme="minorHAnsi"/>
          <w:color w:val="000000"/>
        </w:rPr>
        <w:t>Patients âgés de 18 ans ou plus</w:t>
      </w:r>
    </w:p>
    <w:p w14:paraId="1DE68DA5" w14:textId="6937CBDE" w:rsidR="004E7BBB" w:rsidRPr="004E7BBB" w:rsidRDefault="004E7BBB" w:rsidP="004E7BBB">
      <w:pPr>
        <w:pStyle w:val="ListParagraph"/>
        <w:numPr>
          <w:ilvl w:val="0"/>
          <w:numId w:val="4"/>
        </w:numPr>
        <w:spacing w:line="276" w:lineRule="auto"/>
        <w:jc w:val="both"/>
        <w:rPr>
          <w:rFonts w:cstheme="minorHAnsi"/>
          <w:color w:val="000000"/>
        </w:rPr>
      </w:pPr>
      <w:r w:rsidRPr="00E42C9E">
        <w:rPr>
          <w:rFonts w:cstheme="minorHAnsi"/>
          <w:color w:val="000000"/>
        </w:rPr>
        <w:lastRenderedPageBreak/>
        <w:t xml:space="preserve">Diagnostic de </w:t>
      </w:r>
      <w:r>
        <w:rPr>
          <w:rFonts w:cstheme="minorHAnsi"/>
          <w:color w:val="000000"/>
        </w:rPr>
        <w:t>lupus systémique,</w:t>
      </w:r>
      <w:r w:rsidRPr="00E42C9E">
        <w:rPr>
          <w:rFonts w:cstheme="minorHAnsi"/>
          <w:color w:val="000000"/>
        </w:rPr>
        <w:t xml:space="preserve"> selon les critères </w:t>
      </w:r>
      <w:r w:rsidRPr="00E42C9E">
        <w:rPr>
          <w:rFonts w:cstheme="minorHAnsi"/>
          <w:color w:val="000000" w:themeColor="text1"/>
        </w:rPr>
        <w:t xml:space="preserve">ACR-EULAR de </w:t>
      </w:r>
      <w:r>
        <w:rPr>
          <w:rFonts w:cstheme="minorHAnsi"/>
          <w:color w:val="000000" w:themeColor="text1"/>
        </w:rPr>
        <w:t>2019</w:t>
      </w:r>
      <w:r w:rsidR="00B10E34">
        <w:rPr>
          <w:rFonts w:cstheme="minorHAnsi"/>
          <w:color w:val="000000" w:themeColor="text1"/>
        </w:rPr>
        <w:t xml:space="preserve"> </w:t>
      </w:r>
      <w:r w:rsidR="00B10E34">
        <w:rPr>
          <w:rFonts w:cstheme="minorHAnsi"/>
          <w:color w:val="000000" w:themeColor="text1"/>
        </w:rPr>
        <w:fldChar w:fldCharType="begin"/>
      </w:r>
      <w:r w:rsidR="00E573FD">
        <w:rPr>
          <w:rFonts w:cstheme="minorHAnsi"/>
          <w:color w:val="000000" w:themeColor="text1"/>
        </w:rPr>
        <w:instrText xml:space="preserve"> ADDIN ZOTERO_ITEM CSL_CITATION {"citationID":"syRD5eXU","properties":{"formattedCitation":"[3]","plainCitation":"[3]","noteIndex":0},"citationItems":[{"id":5157,"uris":["http://zotero.org/users/2826558/items/Z3K79NFU"],"itemData":{"id":5157,"type":"article-journal","abstract":"Objective To develop new classification criteria for systemic lupus erythematosus (SLE) jointly supported by the European League Against Rheumatism (EULAR) and the American College of Rheumatology (ACR).\nMethods This international initiative had four phases. (1) Evaluation of antinuclear antibody (ANA) as an entry criterion through systematic review and meta-regression of the literature and criteria generation through an international Delphi exercise, an early patient cohort and a patient survey. (2) Criteria reduction by Delphi and nominal group technique exercises. (3) Criteria definition and weighting based on criterion performance and on results of a multi-criteria decision analysis. (4) Refinement of weights and threshold scores in a new derivation cohort of 1001 subjects and validation compared with previous criteria in a new validation cohort of 1270 subjects.\nResults The 2019 EULAR/ACR classification criteria for SLE include positive ANA at least once as obligatory entry criterion; followed by additive weighted criteria grouped in seven clinical (constitutional, haematological, neuropsychiatric, mucocutaneous, serosal, musculoskeletal, renal) and three immunological (antiphospholipid antibodies, complement proteins, SLE-specific antibodies) domains, and weighted from 2 to 10. Patients accumulating ≥10 points are classified. In the validation cohort, the new criteria had a sensitivity of 96.1% and specificity of 93.4%, compared with 82.8% sensitivity and 93.4% specificity of the ACR 1997 and 96.7% sensitivity and 83.7% specificity of the Systemic Lupus International Collaborating Clinics 2012 criteria.\nConclusion These new classification criteria were developed using rigorous methodology with multidisciplinary and international input, and have excellent sensitivity and specificity. Use of ANA entry criterion, hierarchically clustered and weighted criteria reflect current thinking about SLE and provide an improved foundation for SLE research.","container-title":"Annals of the Rheumatic Diseases","DOI":"10.1136/annrheumdis-2018-214819","ISSN":"0003-4967, 1468-2060","issue":"9","language":"en","license":"© Author(s) (or their employer(s)) 2019. No commercial re-use. See rights and permissions. Published by BMJ.","note":"publisher: BMJ Publishing Group Ltd\nsection: Criteria\nPMID: 31383717","page":"1151-1159","source":"ard.bmj.com","title":"2019 European League Against Rheumatism/American College of Rheumatology classification criteria for systemic lupus erythematosus","volume":"78","author":[{"family":"Aringer","given":"Martin"},{"family":"Costenbader","given":"Karen"},{"family":"Daikh","given":"David"},{"family":"Brinks","given":"Ralph"},{"family":"Mosca","given":"Marta"},{"family":"Ramsey-Goldman","given":"Rosalind"},{"family":"Smolen","given":"Josef S."},{"family":"Wofsy","given":"David"},{"family":"Boumpas","given":"Dimitrios T."},{"family":"Kamen","given":"Diane L."},{"family":"Jayne","given":"David"},{"family":"Cervera","given":"Ricard"},{"family":"Costedoat-Chalumeau","given":"Nathalie"},{"family":"Diamond","given":"Betty"},{"family":"Gladman","given":"Dafna D."},{"family":"Hahn","given":"Bevra"},{"family":"Hiepe","given":"Falk"},{"family":"Jacobsen","given":"Søren"},{"family":"Khanna","given":"Dinesh"},{"family":"Lerstrøm","given":"Kirsten"},{"family":"Massarotti","given":"Elena"},{"family":"McCune","given":"Joseph"},{"family":"Ruiz-Irastorza","given":"Guillermo"},{"family":"Sanchez-Guerrero","given":"Jorge"},{"family":"Schneider","given":"Matthias"},{"family":"Urowitz","given":"Murray"},{"family":"Bertsias","given":"George"},{"family":"Hoyer","given":"Bimba F."},{"family":"Leuchten","given":"Nicolai"},{"family":"Tani","given":"Chiara"},{"family":"Tedeschi","given":"Sara K."},{"family":"Touma","given":"Zahi"},{"family":"Schmajuk","given":"Gabriela"},{"family":"Anic","given":"Branimir"},{"family":"Assan","given":"Florence"},{"family":"Chan","given":"Tak Mao"},{"family":"Clarke","given":"Ann Elaine"},{"family":"Crow","given":"Mary K."},{"family":"Czirják","given":"László"},{"family":"Doria","given":"Andrea"},{"family":"Graninger","given":"Winfried"},{"family":"Halda-Kiss","given":"Bernadett"},{"family":"Hasni","given":"Sarfaraz"},{"family":"Izmirly","given":"Peter M."},{"family":"Jung","given":"Michelle"},{"family":"Kumánovics","given":"Gábor"},{"family":"Mariette","given":"Xavier"},{"family":"Padjen","given":"Ivan"},{"family":"Pego-Reigosa","given":"José M."},{"family":"Romero-Diaz","given":"Juanita"},{"family":"Fernández","given":"Íñigo Rúa-Figueroa"},{"family":"Seror","given":"Raphaèle"},{"family":"Stummvoll","given":"Georg H."},{"family":"Tanaka","given":"Yoshiya"},{"family":"Tektonidou","given":"Maria G."},{"family":"Vasconcelos","given":"Carlos"},{"family":"Vital","given":"Edward M."},{"family":"Wallace","given":"Daniel J."},{"family":"Yavuz","given":"Sule"},{"family":"Meroni","given":"Pier Luigi"},{"family":"Fritzler","given":"Marvin J."},{"family":"Naden","given":"Ray"},{"family":"Dörner","given":"Thomas"},{"family":"Johnson","given":"Sindhu R."}],"issued":{"date-parts":[["2019",9,1]]}}}],"schema":"https://github.com/citation-style-language/schema/raw/master/csl-citation.json"} </w:instrText>
      </w:r>
      <w:r w:rsidR="00B10E34">
        <w:rPr>
          <w:rFonts w:cstheme="minorHAnsi"/>
          <w:color w:val="000000" w:themeColor="text1"/>
        </w:rPr>
        <w:fldChar w:fldCharType="separate"/>
      </w:r>
      <w:r w:rsidR="00E573FD">
        <w:rPr>
          <w:rFonts w:cstheme="minorHAnsi"/>
          <w:noProof/>
          <w:color w:val="000000" w:themeColor="text1"/>
        </w:rPr>
        <w:t>[3]</w:t>
      </w:r>
      <w:r w:rsidR="00B10E34">
        <w:rPr>
          <w:rFonts w:cstheme="minorHAnsi"/>
          <w:color w:val="000000" w:themeColor="text1"/>
        </w:rPr>
        <w:fldChar w:fldCharType="end"/>
      </w:r>
      <w:r w:rsidR="00B10E34">
        <w:rPr>
          <w:rFonts w:cstheme="minorHAnsi"/>
          <w:color w:val="000000" w:themeColor="text1"/>
        </w:rPr>
        <w:t>.</w:t>
      </w:r>
    </w:p>
    <w:p w14:paraId="1845A6CA" w14:textId="77777777" w:rsidR="004E7BBB" w:rsidRPr="00E42C9E" w:rsidRDefault="004E7BBB" w:rsidP="004E7BBB">
      <w:pPr>
        <w:pStyle w:val="ListParagraph"/>
        <w:spacing w:line="276" w:lineRule="auto"/>
        <w:jc w:val="both"/>
        <w:rPr>
          <w:rFonts w:cstheme="minorHAnsi"/>
          <w:color w:val="000000"/>
        </w:rPr>
      </w:pPr>
    </w:p>
    <w:p w14:paraId="115E2F4B" w14:textId="5BDC9EE8" w:rsidR="004E7BBB" w:rsidRPr="004E7BBB" w:rsidRDefault="004E7BBB" w:rsidP="004E7BBB">
      <w:pPr>
        <w:pStyle w:val="ListParagraph"/>
        <w:numPr>
          <w:ilvl w:val="0"/>
          <w:numId w:val="9"/>
        </w:numPr>
        <w:rPr>
          <w:b/>
          <w:bCs/>
        </w:rPr>
      </w:pPr>
      <w:r w:rsidRPr="004E7BBB">
        <w:rPr>
          <w:b/>
          <w:bCs/>
          <w:u w:val="single"/>
        </w:rPr>
        <w:t>Critères diagnostiques de la péricardite</w:t>
      </w:r>
      <w:r w:rsidRPr="004E7BBB">
        <w:rPr>
          <w:b/>
          <w:bCs/>
        </w:rPr>
        <w:t>:</w:t>
      </w:r>
    </w:p>
    <w:p w14:paraId="654912C8" w14:textId="77777777" w:rsidR="004E7BBB" w:rsidRPr="000C24B6" w:rsidRDefault="004E7BBB" w:rsidP="004E7BBB">
      <w:pPr>
        <w:pStyle w:val="ListParagraph"/>
        <w:numPr>
          <w:ilvl w:val="0"/>
          <w:numId w:val="7"/>
        </w:numPr>
        <w:spacing w:line="259" w:lineRule="auto"/>
      </w:pPr>
      <w:r>
        <w:t>Douleur thoracique péricardique et/ou f</w:t>
      </w:r>
      <w:r w:rsidRPr="000C24B6">
        <w:t>rottement péricardique</w:t>
      </w:r>
      <w:r>
        <w:t xml:space="preserve"> et/ou s</w:t>
      </w:r>
      <w:r w:rsidRPr="000C24B6">
        <w:t>ignes ECG</w:t>
      </w:r>
      <w:r>
        <w:t xml:space="preserve"> </w:t>
      </w:r>
    </w:p>
    <w:p w14:paraId="3F6267E2" w14:textId="77777777" w:rsidR="004E7BBB" w:rsidRDefault="004E7BBB" w:rsidP="004E7BBB">
      <w:pPr>
        <w:pStyle w:val="ListParagraph"/>
        <w:numPr>
          <w:ilvl w:val="0"/>
          <w:numId w:val="7"/>
        </w:numPr>
        <w:spacing w:line="259" w:lineRule="auto"/>
      </w:pPr>
      <w:r>
        <w:t>Et/ou Épanchement péricardique à l’échographie ou au scanner</w:t>
      </w:r>
    </w:p>
    <w:p w14:paraId="3D383227" w14:textId="77777777" w:rsidR="004E7BBB" w:rsidRDefault="004E7BBB" w:rsidP="004E7BBB"/>
    <w:p w14:paraId="2FE8CEF9" w14:textId="2EF849FC" w:rsidR="004E7BBB" w:rsidRPr="004E7BBB" w:rsidRDefault="004E7BBB" w:rsidP="004E7BBB">
      <w:pPr>
        <w:pStyle w:val="ListParagraph"/>
        <w:numPr>
          <w:ilvl w:val="0"/>
          <w:numId w:val="9"/>
        </w:numPr>
        <w:rPr>
          <w:b/>
          <w:bCs/>
        </w:rPr>
      </w:pPr>
      <w:r w:rsidRPr="004E7BBB">
        <w:rPr>
          <w:b/>
          <w:bCs/>
          <w:u w:val="single"/>
        </w:rPr>
        <w:t>Critères diagnostiques de la pleurésie</w:t>
      </w:r>
      <w:r w:rsidRPr="004E7BBB">
        <w:rPr>
          <w:b/>
          <w:bCs/>
        </w:rPr>
        <w:t> :</w:t>
      </w:r>
    </w:p>
    <w:p w14:paraId="5F88B396" w14:textId="4ABA8791" w:rsidR="004E7BBB" w:rsidRDefault="004E7BBB" w:rsidP="004E7BBB">
      <w:pPr>
        <w:pStyle w:val="ListParagraph"/>
        <w:numPr>
          <w:ilvl w:val="0"/>
          <w:numId w:val="8"/>
        </w:numPr>
        <w:spacing w:line="259" w:lineRule="auto"/>
      </w:pPr>
      <w:r>
        <w:t>Épanchement pleural à la radiographie ou au scanner</w:t>
      </w:r>
    </w:p>
    <w:p w14:paraId="6C796094" w14:textId="77777777" w:rsidR="004E7BBB" w:rsidRPr="00E42C9E" w:rsidRDefault="004E7BBB" w:rsidP="004E7BBB">
      <w:pPr>
        <w:spacing w:line="276" w:lineRule="auto"/>
        <w:jc w:val="both"/>
        <w:rPr>
          <w:rFonts w:cstheme="minorHAnsi"/>
          <w:color w:val="000000"/>
        </w:rPr>
      </w:pPr>
    </w:p>
    <w:p w14:paraId="077B061B" w14:textId="77777777" w:rsidR="004E7BBB" w:rsidRPr="00815373" w:rsidRDefault="004E7BBB" w:rsidP="004E7BBB">
      <w:pPr>
        <w:spacing w:line="276" w:lineRule="auto"/>
        <w:jc w:val="both"/>
        <w:rPr>
          <w:rFonts w:cstheme="minorHAnsi"/>
          <w:b/>
          <w:bCs/>
          <w:i/>
          <w:iCs/>
          <w:color w:val="000000"/>
        </w:rPr>
      </w:pPr>
      <w:r w:rsidRPr="00815373">
        <w:rPr>
          <w:rFonts w:cstheme="minorHAnsi"/>
          <w:b/>
          <w:bCs/>
          <w:i/>
          <w:iCs/>
          <w:color w:val="000000"/>
        </w:rPr>
        <w:t>Critères d’exclusion</w:t>
      </w:r>
    </w:p>
    <w:p w14:paraId="17E92E13" w14:textId="77777777" w:rsidR="004E7BBB" w:rsidRDefault="004E7BBB" w:rsidP="004E7BBB">
      <w:pPr>
        <w:pStyle w:val="NormalWeb"/>
        <w:numPr>
          <w:ilvl w:val="0"/>
          <w:numId w:val="5"/>
        </w:numPr>
        <w:spacing w:before="0" w:beforeAutospacing="0" w:after="0" w:afterAutospacing="0"/>
        <w:jc w:val="both"/>
        <w:textAlignment w:val="baseline"/>
        <w:rPr>
          <w:rFonts w:ascii="Calibri" w:hAnsi="Calibri" w:cs="Calibri"/>
          <w:color w:val="000000"/>
        </w:rPr>
      </w:pPr>
      <w:r>
        <w:rPr>
          <w:rFonts w:ascii="Calibri" w:hAnsi="Calibri" w:cs="Calibri"/>
          <w:color w:val="000000"/>
        </w:rPr>
        <w:t>Refus de participation à une étude scientifique</w:t>
      </w:r>
    </w:p>
    <w:p w14:paraId="5BA9A4B0" w14:textId="182AC75D" w:rsidR="004E7BBB" w:rsidRDefault="004E7BBB" w:rsidP="004E7BBB">
      <w:pPr>
        <w:pStyle w:val="NormalWeb"/>
        <w:numPr>
          <w:ilvl w:val="0"/>
          <w:numId w:val="5"/>
        </w:numPr>
        <w:spacing w:before="0" w:beforeAutospacing="0" w:after="0" w:afterAutospacing="0"/>
        <w:jc w:val="both"/>
        <w:textAlignment w:val="baseline"/>
        <w:rPr>
          <w:rFonts w:ascii="Calibri" w:hAnsi="Calibri" w:cs="Calibri"/>
          <w:color w:val="000000"/>
        </w:rPr>
      </w:pPr>
      <w:r>
        <w:rPr>
          <w:rFonts w:ascii="Calibri" w:hAnsi="Calibri" w:cs="Calibri"/>
          <w:color w:val="000000"/>
        </w:rPr>
        <w:t>Attribution de l’atteinte pleurale à une autre étiologie que le lupus systémique.</w:t>
      </w:r>
    </w:p>
    <w:p w14:paraId="67995C27" w14:textId="77777777" w:rsidR="004E7BBB" w:rsidRDefault="004E7BBB" w:rsidP="004E7BBB">
      <w:pPr>
        <w:spacing w:line="276" w:lineRule="auto"/>
        <w:jc w:val="both"/>
        <w:rPr>
          <w:rFonts w:cstheme="minorHAnsi"/>
          <w:color w:val="000000"/>
        </w:rPr>
      </w:pPr>
    </w:p>
    <w:p w14:paraId="0C76EEB6" w14:textId="4AE26FAF" w:rsidR="004E7BBB" w:rsidRPr="001B783E" w:rsidRDefault="004E7BBB" w:rsidP="004E7BBB">
      <w:pPr>
        <w:pStyle w:val="ListParagraph"/>
        <w:numPr>
          <w:ilvl w:val="0"/>
          <w:numId w:val="6"/>
        </w:numPr>
        <w:spacing w:line="276" w:lineRule="auto"/>
        <w:jc w:val="both"/>
        <w:rPr>
          <w:rFonts w:ascii="Calibri" w:hAnsi="Calibri" w:cs="Calibri"/>
          <w:i/>
          <w:iCs/>
          <w:color w:val="000000"/>
          <w:u w:val="single"/>
        </w:rPr>
      </w:pPr>
      <w:r>
        <w:rPr>
          <w:rFonts w:ascii="Calibri" w:hAnsi="Calibri" w:cs="Calibri"/>
          <w:i/>
          <w:iCs/>
          <w:color w:val="000000"/>
          <w:u w:val="single"/>
        </w:rPr>
        <w:t>Recueil de données :</w:t>
      </w:r>
    </w:p>
    <w:p w14:paraId="5DBC3C0C" w14:textId="27513998" w:rsidR="004E7BBB" w:rsidRPr="004574E5" w:rsidRDefault="004E7BBB" w:rsidP="004E7BBB">
      <w:pPr>
        <w:spacing w:line="276" w:lineRule="auto"/>
        <w:jc w:val="both"/>
        <w:rPr>
          <w:rFonts w:ascii="Calibri" w:hAnsi="Calibri" w:cs="Calibri"/>
          <w:color w:val="000000"/>
        </w:rPr>
      </w:pPr>
      <w:r w:rsidRPr="004574E5">
        <w:rPr>
          <w:rFonts w:ascii="Calibri" w:hAnsi="Calibri" w:cs="Calibri"/>
          <w:color w:val="000000"/>
        </w:rPr>
        <w:t>Les données anonymisée par chaque médecin contributeur seront recueilli par le biais d’un CRF.</w:t>
      </w:r>
    </w:p>
    <w:p w14:paraId="182F8F45" w14:textId="77777777" w:rsidR="004E7BBB" w:rsidRPr="004E7BBB" w:rsidRDefault="004E7BBB" w:rsidP="004E7BBB">
      <w:pPr>
        <w:spacing w:line="276" w:lineRule="auto"/>
        <w:jc w:val="both"/>
        <w:rPr>
          <w:rFonts w:ascii="Calibri" w:hAnsi="Calibri" w:cs="Calibri"/>
          <w:i/>
          <w:iCs/>
          <w:color w:val="000000"/>
          <w:u w:val="single"/>
        </w:rPr>
      </w:pPr>
    </w:p>
    <w:p w14:paraId="4FB54860" w14:textId="5FD51441" w:rsidR="004E7BBB" w:rsidRPr="00815373" w:rsidRDefault="004E7BBB" w:rsidP="004E7BBB">
      <w:pPr>
        <w:pStyle w:val="ListParagraph"/>
        <w:numPr>
          <w:ilvl w:val="0"/>
          <w:numId w:val="6"/>
        </w:numPr>
        <w:spacing w:line="276" w:lineRule="auto"/>
        <w:jc w:val="both"/>
        <w:rPr>
          <w:rFonts w:ascii="Calibri" w:hAnsi="Calibri" w:cs="Calibri"/>
          <w:i/>
          <w:iCs/>
          <w:color w:val="000000"/>
          <w:u w:val="single"/>
        </w:rPr>
      </w:pPr>
      <w:r w:rsidRPr="00815373">
        <w:rPr>
          <w:rFonts w:ascii="Calibri" w:hAnsi="Calibri" w:cs="Calibri"/>
          <w:i/>
          <w:iCs/>
          <w:color w:val="000000"/>
          <w:u w:val="single"/>
        </w:rPr>
        <w:t>Analyses statistiques</w:t>
      </w:r>
    </w:p>
    <w:p w14:paraId="78A658F2" w14:textId="77777777" w:rsidR="004E7BBB" w:rsidRDefault="004E7BBB" w:rsidP="004E7BBB">
      <w:pPr>
        <w:pStyle w:val="NoSpacing"/>
        <w:jc w:val="both"/>
      </w:pPr>
      <w:r w:rsidRPr="004C2925">
        <w:t xml:space="preserve">Les variables continues seront décrites </w:t>
      </w:r>
      <w:r>
        <w:t>à l’aide de</w:t>
      </w:r>
      <w:r w:rsidRPr="004C2925">
        <w:t xml:space="preserve"> médiane et </w:t>
      </w:r>
      <w:r>
        <w:t>d’écart</w:t>
      </w:r>
      <w:r w:rsidRPr="004C2925">
        <w:t xml:space="preserve"> interquartile (IQR 25-75), </w:t>
      </w:r>
      <w:r>
        <w:t xml:space="preserve">et </w:t>
      </w:r>
      <w:r w:rsidRPr="004C2925">
        <w:t xml:space="preserve">les variables catégorielles </w:t>
      </w:r>
      <w:r>
        <w:t>seront</w:t>
      </w:r>
      <w:r w:rsidRPr="004C2925">
        <w:t xml:space="preserve"> présentées sous forme d'effectifs et de pourcentages. </w:t>
      </w:r>
    </w:p>
    <w:p w14:paraId="20AF4675" w14:textId="77777777" w:rsidR="004E7BBB" w:rsidRDefault="004E7BBB" w:rsidP="004E7BBB">
      <w:pPr>
        <w:pStyle w:val="NoSpacing"/>
        <w:jc w:val="both"/>
      </w:pPr>
      <w:r w:rsidRPr="004C2925">
        <w:t xml:space="preserve">Les différences de fréquence pour les variables qualitatives </w:t>
      </w:r>
      <w:r>
        <w:t>seront</w:t>
      </w:r>
      <w:r w:rsidRPr="004C2925">
        <w:t xml:space="preserve"> comparées à l'aide de tests </w:t>
      </w:r>
      <w:r w:rsidRPr="004C2925">
        <w:rPr>
          <w:lang w:val="en-US"/>
        </w:rPr>
        <w:t>χ</w:t>
      </w:r>
      <w:r w:rsidRPr="004C2925">
        <w:t xml:space="preserve">2. Des tests non paramétriques </w:t>
      </w:r>
      <w:r>
        <w:t>seront</w:t>
      </w:r>
      <w:r w:rsidRPr="004C2925">
        <w:t xml:space="preserve"> utilisés pour les variables quantitatives. </w:t>
      </w:r>
    </w:p>
    <w:p w14:paraId="7F2ECACB" w14:textId="6ECC0B72" w:rsidR="004E7BBB" w:rsidRDefault="004E7BBB" w:rsidP="004E7BBB">
      <w:pPr>
        <w:pStyle w:val="NoSpacing"/>
        <w:jc w:val="both"/>
      </w:pPr>
      <w:r>
        <w:t xml:space="preserve">La méthode de Kaplan Meier sera utilisée pour analyser la survenue d’une rechute de </w:t>
      </w:r>
      <w:proofErr w:type="spellStart"/>
      <w:r>
        <w:t>sérite</w:t>
      </w:r>
      <w:proofErr w:type="spellEnd"/>
      <w:r>
        <w:t xml:space="preserve"> </w:t>
      </w:r>
      <w:r w:rsidR="00292223">
        <w:t xml:space="preserve">(critère principal) </w:t>
      </w:r>
      <w:r>
        <w:t xml:space="preserve">et un modèle de Cox multivariable sera utilisé pour comparer le risque de rechute sous chaque </w:t>
      </w:r>
      <w:r w:rsidR="00B10E34">
        <w:t>immunosuppresseur</w:t>
      </w:r>
      <w:r>
        <w:t xml:space="preserve">. </w:t>
      </w:r>
    </w:p>
    <w:p w14:paraId="0AB47E10" w14:textId="77777777" w:rsidR="004E7BBB" w:rsidRPr="009A7DA7" w:rsidRDefault="004E7BBB" w:rsidP="004E7BBB">
      <w:pPr>
        <w:pStyle w:val="NoSpacing"/>
        <w:rPr>
          <w:rFonts w:cstheme="minorHAnsi"/>
        </w:rPr>
      </w:pPr>
    </w:p>
    <w:p w14:paraId="4954DE50" w14:textId="77777777" w:rsidR="004E7BBB" w:rsidRDefault="004E7BBB" w:rsidP="004E7BBB">
      <w:pPr>
        <w:pStyle w:val="NormalWeb"/>
        <w:numPr>
          <w:ilvl w:val="0"/>
          <w:numId w:val="6"/>
        </w:numPr>
        <w:spacing w:before="0" w:beforeAutospacing="0" w:after="0" w:afterAutospacing="0"/>
        <w:jc w:val="both"/>
        <w:rPr>
          <w:color w:val="000000"/>
        </w:rPr>
      </w:pPr>
      <w:r>
        <w:rPr>
          <w:rFonts w:ascii="Calibri" w:hAnsi="Calibri" w:cs="Calibri"/>
          <w:i/>
          <w:iCs/>
          <w:color w:val="000000"/>
          <w:u w:val="single"/>
        </w:rPr>
        <w:t>Éthique</w:t>
      </w:r>
    </w:p>
    <w:p w14:paraId="57E18D3C" w14:textId="77777777" w:rsidR="004E7BBB" w:rsidRDefault="004E7BBB" w:rsidP="004E7BBB">
      <w:pPr>
        <w:pStyle w:val="NormalWeb"/>
        <w:spacing w:before="0" w:beforeAutospacing="0" w:after="0" w:afterAutospacing="0"/>
        <w:jc w:val="both"/>
        <w:rPr>
          <w:rFonts w:ascii="Calibri" w:hAnsi="Calibri" w:cs="Calibri"/>
          <w:color w:val="000000"/>
        </w:rPr>
      </w:pPr>
      <w:r w:rsidRPr="00083AAC">
        <w:rPr>
          <w:rFonts w:ascii="Calibri" w:hAnsi="Calibri" w:cs="Calibri"/>
          <w:color w:val="000000"/>
        </w:rPr>
        <w:t>Dans le cadre de cette étude, un</w:t>
      </w:r>
      <w:r>
        <w:rPr>
          <w:rFonts w:ascii="Calibri" w:hAnsi="Calibri" w:cs="Calibri"/>
          <w:color w:val="000000"/>
        </w:rPr>
        <w:t xml:space="preserve">e note d’information et </w:t>
      </w:r>
      <w:r w:rsidRPr="00083AAC">
        <w:rPr>
          <w:rFonts w:ascii="Calibri" w:hAnsi="Calibri" w:cs="Calibri"/>
          <w:color w:val="000000"/>
        </w:rPr>
        <w:t>de non-opposition à l’utilisation des données médicales sera transmis</w:t>
      </w:r>
      <w:r>
        <w:rPr>
          <w:rFonts w:ascii="Calibri" w:hAnsi="Calibri" w:cs="Calibri"/>
          <w:color w:val="000000"/>
        </w:rPr>
        <w:t>e, par chaque investigateur,</w:t>
      </w:r>
      <w:r w:rsidRPr="00083AAC">
        <w:rPr>
          <w:rFonts w:ascii="Calibri" w:hAnsi="Calibri" w:cs="Calibri"/>
          <w:color w:val="000000"/>
        </w:rPr>
        <w:t xml:space="preserve"> aux patients </w:t>
      </w:r>
      <w:r>
        <w:rPr>
          <w:rFonts w:ascii="Calibri" w:hAnsi="Calibri" w:cs="Calibri"/>
          <w:color w:val="000000"/>
        </w:rPr>
        <w:t xml:space="preserve">qu’il aura </w:t>
      </w:r>
      <w:r w:rsidRPr="00083AAC">
        <w:rPr>
          <w:rFonts w:ascii="Calibri" w:hAnsi="Calibri" w:cs="Calibri"/>
          <w:color w:val="000000"/>
        </w:rPr>
        <w:t xml:space="preserve">inclus. En cas d’opposition, l’ensemble des données concernant </w:t>
      </w:r>
      <w:proofErr w:type="spellStart"/>
      <w:r w:rsidRPr="00083AAC">
        <w:rPr>
          <w:rFonts w:ascii="Calibri" w:hAnsi="Calibri" w:cs="Calibri"/>
          <w:color w:val="000000"/>
        </w:rPr>
        <w:t>le-dit</w:t>
      </w:r>
      <w:proofErr w:type="spellEnd"/>
      <w:r w:rsidRPr="00083AAC">
        <w:rPr>
          <w:rFonts w:ascii="Calibri" w:hAnsi="Calibri" w:cs="Calibri"/>
          <w:color w:val="000000"/>
        </w:rPr>
        <w:t xml:space="preserve"> patient seront détruites de la base de données.</w:t>
      </w:r>
    </w:p>
    <w:p w14:paraId="7D8754E3" w14:textId="77777777" w:rsidR="004574E5" w:rsidRDefault="004574E5" w:rsidP="004E7BBB">
      <w:pPr>
        <w:pStyle w:val="NormalWeb"/>
        <w:spacing w:before="0" w:beforeAutospacing="0" w:after="0" w:afterAutospacing="0"/>
        <w:jc w:val="both"/>
        <w:rPr>
          <w:rFonts w:ascii="Calibri" w:hAnsi="Calibri" w:cs="Calibri"/>
          <w:color w:val="000000"/>
        </w:rPr>
      </w:pPr>
    </w:p>
    <w:p w14:paraId="6283FC58" w14:textId="771C6B28" w:rsidR="004574E5" w:rsidRPr="004574E5" w:rsidRDefault="004574E5" w:rsidP="004574E5">
      <w:pPr>
        <w:spacing w:after="200" w:line="276" w:lineRule="auto"/>
        <w:jc w:val="both"/>
        <w:rPr>
          <w:rFonts w:ascii="Calibri" w:eastAsia="Times New Roman" w:hAnsi="Calibri" w:cs="Calibri"/>
          <w:color w:val="000000"/>
          <w:kern w:val="0"/>
          <w:lang w:val="fr-FR" w:eastAsia="fr-FR"/>
          <w14:ligatures w14:val="none"/>
        </w:rPr>
      </w:pPr>
      <w:r w:rsidRPr="004574E5">
        <w:rPr>
          <w:rFonts w:ascii="Calibri" w:eastAsia="Times New Roman" w:hAnsi="Calibri" w:cs="Calibri"/>
          <w:color w:val="000000"/>
          <w:kern w:val="0"/>
          <w:lang w:val="fr-FR" w:eastAsia="fr-FR"/>
          <w14:ligatures w14:val="none"/>
        </w:rPr>
        <w:t>Ce projet a reçu un avis favorable du Comité d’Éthique de la faculté de Médecine de Strasbourg (CE-2024-83, le 18 septembre 2024).</w:t>
      </w:r>
    </w:p>
    <w:p w14:paraId="32BB9D08" w14:textId="77777777" w:rsidR="004574E5" w:rsidRPr="004574E5" w:rsidRDefault="004574E5" w:rsidP="004E7BBB">
      <w:pPr>
        <w:pStyle w:val="NormalWeb"/>
        <w:spacing w:before="0" w:beforeAutospacing="0" w:after="0" w:afterAutospacing="0"/>
        <w:jc w:val="both"/>
        <w:rPr>
          <w:color w:val="000000"/>
          <w:lang w:val="en-FR"/>
        </w:rPr>
      </w:pPr>
    </w:p>
    <w:p w14:paraId="1BCEF50A" w14:textId="77777777" w:rsidR="001B783E" w:rsidRDefault="001B783E" w:rsidP="001B783E">
      <w:pPr>
        <w:pStyle w:val="ListParagraph"/>
        <w:numPr>
          <w:ilvl w:val="0"/>
          <w:numId w:val="6"/>
        </w:numPr>
        <w:rPr>
          <w:rFonts w:cstheme="minorHAnsi"/>
          <w:i/>
          <w:iCs/>
          <w:u w:val="single"/>
        </w:rPr>
      </w:pPr>
      <w:r w:rsidRPr="00815373">
        <w:rPr>
          <w:rFonts w:cstheme="minorHAnsi"/>
          <w:i/>
          <w:iCs/>
          <w:u w:val="single"/>
        </w:rPr>
        <w:t>Règle d’authorship</w:t>
      </w:r>
    </w:p>
    <w:p w14:paraId="6237E8BF" w14:textId="10247A4D" w:rsidR="004E7BBB" w:rsidRDefault="001B783E" w:rsidP="00882EF2">
      <w:pPr>
        <w:pStyle w:val="NoSpacing"/>
      </w:pPr>
      <w:r w:rsidRPr="00164EE3">
        <w:t>La participation du CRI</w:t>
      </w:r>
      <w:r>
        <w:t xml:space="preserve"> (Club Rhumatismes et Inflammations)</w:t>
      </w:r>
      <w:r w:rsidRPr="00164EE3">
        <w:t xml:space="preserve"> sera mentionnée dans les remerciements. </w:t>
      </w:r>
      <w:r w:rsidR="00882EF2">
        <w:t xml:space="preserve"> </w:t>
      </w:r>
      <w:r w:rsidRPr="00164EE3">
        <w:t>Chaque collaborateur sera cité dans les co-auteurs, en pondération du nombre de cas rapportés.</w:t>
      </w:r>
    </w:p>
    <w:p w14:paraId="49A96CFB" w14:textId="77777777" w:rsidR="00E8605F" w:rsidRPr="00596E52" w:rsidRDefault="00E8605F" w:rsidP="00E8605F">
      <w:pPr>
        <w:jc w:val="both"/>
      </w:pPr>
      <w:r>
        <w:br/>
      </w:r>
    </w:p>
    <w:p w14:paraId="1031AC96" w14:textId="6188453A" w:rsidR="00E8605F" w:rsidRPr="00E8605F" w:rsidRDefault="00E8605F" w:rsidP="00E8605F">
      <w:pPr>
        <w:pStyle w:val="NoSpacing"/>
        <w:numPr>
          <w:ilvl w:val="0"/>
          <w:numId w:val="1"/>
        </w:numPr>
      </w:pPr>
      <w:r>
        <w:rPr>
          <w:b/>
          <w:bCs/>
        </w:rPr>
        <w:t>Bibliographie :</w:t>
      </w:r>
    </w:p>
    <w:p w14:paraId="21A1EBE5" w14:textId="77777777" w:rsidR="00E573FD" w:rsidRPr="00E573FD" w:rsidRDefault="00E8605F" w:rsidP="00E573FD">
      <w:pPr>
        <w:pStyle w:val="Bibliography"/>
        <w:rPr>
          <w:rFonts w:ascii="Aptos"/>
          <w:lang w:val="en-GB"/>
        </w:rPr>
      </w:pPr>
      <w:r>
        <w:lastRenderedPageBreak/>
        <w:fldChar w:fldCharType="begin"/>
      </w:r>
      <w:r>
        <w:instrText xml:space="preserve"> ADDIN ZOTERO_BIBL {"uncited":[],"omitted":[],"custom":[]} CSL_BIBLIOGRAPHY </w:instrText>
      </w:r>
      <w:r>
        <w:fldChar w:fldCharType="separate"/>
      </w:r>
      <w:r w:rsidR="00E573FD" w:rsidRPr="00E573FD">
        <w:rPr>
          <w:rFonts w:ascii="Aptos"/>
          <w:lang w:val="en-GB"/>
        </w:rPr>
        <w:t>[1]</w:t>
      </w:r>
      <w:r w:rsidR="00E573FD" w:rsidRPr="00E573FD">
        <w:rPr>
          <w:rFonts w:ascii="Aptos"/>
          <w:lang w:val="en-GB"/>
        </w:rPr>
        <w:tab/>
        <w:t xml:space="preserve">Hoi A, </w:t>
      </w:r>
      <w:proofErr w:type="spellStart"/>
      <w:r w:rsidR="00E573FD" w:rsidRPr="00E573FD">
        <w:rPr>
          <w:rFonts w:ascii="Aptos"/>
          <w:lang w:val="en-GB"/>
        </w:rPr>
        <w:t>Igel</w:t>
      </w:r>
      <w:proofErr w:type="spellEnd"/>
      <w:r w:rsidR="00E573FD" w:rsidRPr="00E573FD">
        <w:rPr>
          <w:rFonts w:ascii="Aptos"/>
          <w:lang w:val="en-GB"/>
        </w:rPr>
        <w:t xml:space="preserve"> T, Mok CC, Arnaud L. Systemic lupus erythematosus. The Lancet </w:t>
      </w:r>
      <w:proofErr w:type="gramStart"/>
      <w:r w:rsidR="00E573FD" w:rsidRPr="00E573FD">
        <w:rPr>
          <w:rFonts w:ascii="Aptos"/>
          <w:lang w:val="en-GB"/>
        </w:rPr>
        <w:t>2024;403:2326</w:t>
      </w:r>
      <w:proofErr w:type="gramEnd"/>
      <w:r w:rsidR="00E573FD" w:rsidRPr="00E573FD">
        <w:rPr>
          <w:rFonts w:ascii="Aptos"/>
          <w:lang w:val="en-GB"/>
        </w:rPr>
        <w:t>–38. https://doi.org/10.1016/S0140-6736(24)00398-2.</w:t>
      </w:r>
    </w:p>
    <w:p w14:paraId="5BE383A9" w14:textId="77777777" w:rsidR="00E573FD" w:rsidRPr="00E573FD" w:rsidRDefault="00E573FD" w:rsidP="00E573FD">
      <w:pPr>
        <w:pStyle w:val="Bibliography"/>
        <w:rPr>
          <w:rFonts w:ascii="Aptos"/>
          <w:lang w:val="en-GB"/>
        </w:rPr>
      </w:pPr>
      <w:r w:rsidRPr="00E573FD">
        <w:rPr>
          <w:rFonts w:ascii="Aptos"/>
          <w:lang w:val="en-GB"/>
        </w:rPr>
        <w:t>[2]</w:t>
      </w:r>
      <w:r w:rsidRPr="00E573FD">
        <w:rPr>
          <w:rFonts w:ascii="Aptos"/>
          <w:lang w:val="en-GB"/>
        </w:rPr>
        <w:tab/>
      </w:r>
      <w:proofErr w:type="spellStart"/>
      <w:r w:rsidRPr="00E573FD">
        <w:rPr>
          <w:rFonts w:ascii="Aptos"/>
          <w:lang w:val="en-GB"/>
        </w:rPr>
        <w:t>Muangchan</w:t>
      </w:r>
      <w:proofErr w:type="spellEnd"/>
      <w:r w:rsidRPr="00E573FD">
        <w:rPr>
          <w:rFonts w:ascii="Aptos"/>
          <w:lang w:val="en-GB"/>
        </w:rPr>
        <w:t xml:space="preserve"> C, Van Vollenhoven RF, </w:t>
      </w:r>
      <w:proofErr w:type="spellStart"/>
      <w:r w:rsidRPr="00E573FD">
        <w:rPr>
          <w:rFonts w:ascii="Aptos"/>
          <w:lang w:val="en-GB"/>
        </w:rPr>
        <w:t>Bernatsky</w:t>
      </w:r>
      <w:proofErr w:type="spellEnd"/>
      <w:r w:rsidRPr="00E573FD">
        <w:rPr>
          <w:rFonts w:ascii="Aptos"/>
          <w:lang w:val="en-GB"/>
        </w:rPr>
        <w:t xml:space="preserve"> SR, Smith CD, Hudson M, </w:t>
      </w:r>
      <w:proofErr w:type="spellStart"/>
      <w:r w:rsidRPr="00E573FD">
        <w:rPr>
          <w:rFonts w:ascii="Aptos"/>
          <w:lang w:val="en-GB"/>
        </w:rPr>
        <w:t>Inanç</w:t>
      </w:r>
      <w:proofErr w:type="spellEnd"/>
      <w:r w:rsidRPr="00E573FD">
        <w:rPr>
          <w:rFonts w:ascii="Aptos"/>
          <w:lang w:val="en-GB"/>
        </w:rPr>
        <w:t xml:space="preserve"> M, et al. Treatment Algorithms in Systemic Lupus Erythematosus. Arthritis Care &amp; Research </w:t>
      </w:r>
      <w:proofErr w:type="gramStart"/>
      <w:r w:rsidRPr="00E573FD">
        <w:rPr>
          <w:rFonts w:ascii="Aptos"/>
          <w:lang w:val="en-GB"/>
        </w:rPr>
        <w:t>2015;67:1237</w:t>
      </w:r>
      <w:proofErr w:type="gramEnd"/>
      <w:r w:rsidRPr="00E573FD">
        <w:rPr>
          <w:rFonts w:ascii="Aptos"/>
          <w:lang w:val="en-GB"/>
        </w:rPr>
        <w:t>–45. https://doi.org/10.1002/acr.22589.</w:t>
      </w:r>
    </w:p>
    <w:p w14:paraId="423ED192" w14:textId="77777777" w:rsidR="00E573FD" w:rsidRPr="00E573FD" w:rsidRDefault="00E573FD" w:rsidP="00E573FD">
      <w:pPr>
        <w:pStyle w:val="Bibliography"/>
        <w:rPr>
          <w:rFonts w:ascii="Aptos"/>
          <w:lang w:val="en-GB"/>
        </w:rPr>
      </w:pPr>
      <w:r w:rsidRPr="00E573FD">
        <w:rPr>
          <w:rFonts w:ascii="Aptos"/>
          <w:lang w:val="en-GB"/>
        </w:rPr>
        <w:t>[3]</w:t>
      </w:r>
      <w:r w:rsidRPr="00E573FD">
        <w:rPr>
          <w:rFonts w:ascii="Aptos"/>
          <w:lang w:val="en-GB"/>
        </w:rPr>
        <w:tab/>
      </w:r>
      <w:proofErr w:type="spellStart"/>
      <w:r w:rsidRPr="00E573FD">
        <w:rPr>
          <w:rFonts w:ascii="Aptos"/>
          <w:lang w:val="en-GB"/>
        </w:rPr>
        <w:t>Aringer</w:t>
      </w:r>
      <w:proofErr w:type="spellEnd"/>
      <w:r w:rsidRPr="00E573FD">
        <w:rPr>
          <w:rFonts w:ascii="Aptos"/>
          <w:lang w:val="en-GB"/>
        </w:rPr>
        <w:t xml:space="preserve"> M, </w:t>
      </w:r>
      <w:proofErr w:type="spellStart"/>
      <w:r w:rsidRPr="00E573FD">
        <w:rPr>
          <w:rFonts w:ascii="Aptos"/>
          <w:lang w:val="en-GB"/>
        </w:rPr>
        <w:t>Costenbader</w:t>
      </w:r>
      <w:proofErr w:type="spellEnd"/>
      <w:r w:rsidRPr="00E573FD">
        <w:rPr>
          <w:rFonts w:ascii="Aptos"/>
          <w:lang w:val="en-GB"/>
        </w:rPr>
        <w:t xml:space="preserve"> K, </w:t>
      </w:r>
      <w:proofErr w:type="spellStart"/>
      <w:r w:rsidRPr="00E573FD">
        <w:rPr>
          <w:rFonts w:ascii="Aptos"/>
          <w:lang w:val="en-GB"/>
        </w:rPr>
        <w:t>Daikh</w:t>
      </w:r>
      <w:proofErr w:type="spellEnd"/>
      <w:r w:rsidRPr="00E573FD">
        <w:rPr>
          <w:rFonts w:ascii="Aptos"/>
          <w:lang w:val="en-GB"/>
        </w:rPr>
        <w:t xml:space="preserve"> D, Brinks R, Mosca M, Ramsey-Goldman R, et al. 2019 European League Against Rheumatism/American College of Rheumatology classification criteria for systemic lupus erythematosus. Annals of the Rheumatic Diseases </w:t>
      </w:r>
      <w:proofErr w:type="gramStart"/>
      <w:r w:rsidRPr="00E573FD">
        <w:rPr>
          <w:rFonts w:ascii="Aptos"/>
          <w:lang w:val="en-GB"/>
        </w:rPr>
        <w:t>2019;78:1151</w:t>
      </w:r>
      <w:proofErr w:type="gramEnd"/>
      <w:r w:rsidRPr="00E573FD">
        <w:rPr>
          <w:rFonts w:ascii="Aptos"/>
          <w:lang w:val="en-GB"/>
        </w:rPr>
        <w:t>–9. https://doi.org/10.1136/annrheumdis-2018-214819.</w:t>
      </w:r>
    </w:p>
    <w:p w14:paraId="4EE3E603" w14:textId="71B68C85" w:rsidR="00E8605F" w:rsidRPr="004E7BBB" w:rsidRDefault="00E8605F" w:rsidP="00E8605F">
      <w:pPr>
        <w:pStyle w:val="NoSpacing"/>
        <w:ind w:left="360"/>
      </w:pPr>
      <w:r>
        <w:fldChar w:fldCharType="end"/>
      </w:r>
    </w:p>
    <w:sectPr w:rsidR="00E8605F" w:rsidRPr="004E7B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ACFF"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34207"/>
    <w:multiLevelType w:val="hybridMultilevel"/>
    <w:tmpl w:val="8E0252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517830"/>
    <w:multiLevelType w:val="hybridMultilevel"/>
    <w:tmpl w:val="793ECC02"/>
    <w:lvl w:ilvl="0" w:tplc="AB6A6C84">
      <w:start w:val="1"/>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613ACE"/>
    <w:multiLevelType w:val="hybridMultilevel"/>
    <w:tmpl w:val="AFF035F2"/>
    <w:lvl w:ilvl="0" w:tplc="FFFFFFFF">
      <w:start w:val="1"/>
      <w:numFmt w:val="decimal"/>
      <w:lvlText w:val="%1."/>
      <w:lvlJc w:val="left"/>
      <w:pPr>
        <w:ind w:left="720" w:hanging="360"/>
      </w:pPr>
      <w:rPr>
        <w:rFonts w:asciiTheme="minorHAnsi" w:hAnsiTheme="minorHAnsi" w:cstheme="minorHAnsi" w:hint="default"/>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7AD6121"/>
    <w:multiLevelType w:val="hybridMultilevel"/>
    <w:tmpl w:val="F03E2476"/>
    <w:lvl w:ilvl="0" w:tplc="790A13C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E5B1221"/>
    <w:multiLevelType w:val="hybridMultilevel"/>
    <w:tmpl w:val="66ECD268"/>
    <w:lvl w:ilvl="0" w:tplc="DE981D9C">
      <w:start w:val="1"/>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49326C7"/>
    <w:multiLevelType w:val="hybridMultilevel"/>
    <w:tmpl w:val="4A1201E8"/>
    <w:lvl w:ilvl="0" w:tplc="1A326878">
      <w:start w:val="1"/>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E10D72"/>
    <w:multiLevelType w:val="hybridMultilevel"/>
    <w:tmpl w:val="B8BCB972"/>
    <w:lvl w:ilvl="0" w:tplc="17185DC2">
      <w:start w:val="1"/>
      <w:numFmt w:val="decimal"/>
      <w:lvlText w:val="%1."/>
      <w:lvlJc w:val="left"/>
      <w:pPr>
        <w:ind w:left="720" w:hanging="360"/>
      </w:pPr>
      <w:rPr>
        <w:rFonts w:asciiTheme="minorHAnsi" w:hAnsiTheme="minorHAnsi" w:cstheme="minorHAnsi" w:hint="default"/>
        <w:i/>
        <w:i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B145526"/>
    <w:multiLevelType w:val="hybridMultilevel"/>
    <w:tmpl w:val="C65A0FAE"/>
    <w:lvl w:ilvl="0" w:tplc="790A13C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5BB7EA3"/>
    <w:multiLevelType w:val="hybridMultilevel"/>
    <w:tmpl w:val="6B0AB7D0"/>
    <w:lvl w:ilvl="0" w:tplc="9436808E">
      <w:start w:val="4"/>
      <w:numFmt w:val="bullet"/>
      <w:lvlText w:val=""/>
      <w:lvlJc w:val="left"/>
      <w:pPr>
        <w:ind w:left="720" w:hanging="360"/>
      </w:pPr>
      <w:rPr>
        <w:rFonts w:ascii="Wingdings" w:eastAsiaTheme="minorHAnsi" w:hAnsi="Wingdings" w:cstheme="minorBidi"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6F62B1"/>
    <w:multiLevelType w:val="multilevel"/>
    <w:tmpl w:val="BE3A465E"/>
    <w:lvl w:ilvl="0">
      <w:start w:val="1"/>
      <w:numFmt w:val="bullet"/>
      <w:lvlText w:val="-"/>
      <w:lvlJc w:val="left"/>
      <w:pPr>
        <w:ind w:left="720" w:hanging="360"/>
      </w:pPr>
      <w:rPr>
        <w:rFonts w:ascii="Calibri" w:eastAsia="Times New Roman" w:hAnsi="Calibri" w:cs="Calibri" w:hint="default"/>
        <w:b w:val="0"/>
        <w:bCs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28641A"/>
    <w:multiLevelType w:val="hybridMultilevel"/>
    <w:tmpl w:val="1594114E"/>
    <w:lvl w:ilvl="0" w:tplc="A484DC2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9049576">
    <w:abstractNumId w:val="10"/>
  </w:num>
  <w:num w:numId="2" w16cid:durableId="95945807">
    <w:abstractNumId w:val="5"/>
  </w:num>
  <w:num w:numId="3" w16cid:durableId="1952397270">
    <w:abstractNumId w:val="1"/>
  </w:num>
  <w:num w:numId="4" w16cid:durableId="351759338">
    <w:abstractNumId w:val="4"/>
  </w:num>
  <w:num w:numId="5" w16cid:durableId="1923710414">
    <w:abstractNumId w:val="9"/>
  </w:num>
  <w:num w:numId="6" w16cid:durableId="1112629386">
    <w:abstractNumId w:val="6"/>
  </w:num>
  <w:num w:numId="7" w16cid:durableId="2107455460">
    <w:abstractNumId w:val="7"/>
  </w:num>
  <w:num w:numId="8" w16cid:durableId="187182216">
    <w:abstractNumId w:val="3"/>
  </w:num>
  <w:num w:numId="9" w16cid:durableId="1473866594">
    <w:abstractNumId w:val="8"/>
  </w:num>
  <w:num w:numId="10" w16cid:durableId="1185560347">
    <w:abstractNumId w:val="0"/>
  </w:num>
  <w:num w:numId="11" w16cid:durableId="10915135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BBB"/>
    <w:rsid w:val="000274DE"/>
    <w:rsid w:val="00034657"/>
    <w:rsid w:val="001B783E"/>
    <w:rsid w:val="001C1C33"/>
    <w:rsid w:val="001C2305"/>
    <w:rsid w:val="00260BB0"/>
    <w:rsid w:val="00292223"/>
    <w:rsid w:val="00297889"/>
    <w:rsid w:val="002C6423"/>
    <w:rsid w:val="002F1B0F"/>
    <w:rsid w:val="002F5A57"/>
    <w:rsid w:val="00327370"/>
    <w:rsid w:val="00327B06"/>
    <w:rsid w:val="003315F4"/>
    <w:rsid w:val="003972D3"/>
    <w:rsid w:val="004365CB"/>
    <w:rsid w:val="004574E5"/>
    <w:rsid w:val="004D454E"/>
    <w:rsid w:val="004E7BBB"/>
    <w:rsid w:val="004F75CC"/>
    <w:rsid w:val="00524154"/>
    <w:rsid w:val="00553A68"/>
    <w:rsid w:val="005C0F81"/>
    <w:rsid w:val="00640468"/>
    <w:rsid w:val="006B7B6D"/>
    <w:rsid w:val="006D7DCF"/>
    <w:rsid w:val="00763F4E"/>
    <w:rsid w:val="007766A8"/>
    <w:rsid w:val="007D13E8"/>
    <w:rsid w:val="007E2837"/>
    <w:rsid w:val="00837ABE"/>
    <w:rsid w:val="00847CE3"/>
    <w:rsid w:val="00877970"/>
    <w:rsid w:val="00882EF2"/>
    <w:rsid w:val="0090036B"/>
    <w:rsid w:val="00936B77"/>
    <w:rsid w:val="0098167F"/>
    <w:rsid w:val="00996CBD"/>
    <w:rsid w:val="009A49E8"/>
    <w:rsid w:val="00A059CF"/>
    <w:rsid w:val="00A258A3"/>
    <w:rsid w:val="00A325D6"/>
    <w:rsid w:val="00A62BE3"/>
    <w:rsid w:val="00A877C6"/>
    <w:rsid w:val="00A94E71"/>
    <w:rsid w:val="00AE4AB8"/>
    <w:rsid w:val="00B10E34"/>
    <w:rsid w:val="00B4409A"/>
    <w:rsid w:val="00B467A0"/>
    <w:rsid w:val="00B745F6"/>
    <w:rsid w:val="00BA7B9C"/>
    <w:rsid w:val="00BF230B"/>
    <w:rsid w:val="00C24186"/>
    <w:rsid w:val="00C365E6"/>
    <w:rsid w:val="00CB3FDE"/>
    <w:rsid w:val="00D05D5F"/>
    <w:rsid w:val="00D3549C"/>
    <w:rsid w:val="00D406CD"/>
    <w:rsid w:val="00D60960"/>
    <w:rsid w:val="00E172EE"/>
    <w:rsid w:val="00E1748B"/>
    <w:rsid w:val="00E2314E"/>
    <w:rsid w:val="00E573FD"/>
    <w:rsid w:val="00E641E2"/>
    <w:rsid w:val="00E6667C"/>
    <w:rsid w:val="00E8605F"/>
    <w:rsid w:val="00EA55CF"/>
    <w:rsid w:val="00F0398F"/>
    <w:rsid w:val="00F30C9C"/>
    <w:rsid w:val="00F852C1"/>
    <w:rsid w:val="00FC4586"/>
    <w:rsid w:val="00FE258C"/>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decimalSymbol w:val=","/>
  <w:listSeparator w:val=","/>
  <w14:docId w14:val="4204703C"/>
  <w15:chartTrackingRefBased/>
  <w15:docId w15:val="{C114E468-FADF-494D-8489-068E3C782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7B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7B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7B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7B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7B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7BB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7BB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7BB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7BB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7B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7B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7B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7B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7B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7B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7B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7B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7BBB"/>
    <w:rPr>
      <w:rFonts w:eastAsiaTheme="majorEastAsia" w:cstheme="majorBidi"/>
      <w:color w:val="272727" w:themeColor="text1" w:themeTint="D8"/>
    </w:rPr>
  </w:style>
  <w:style w:type="paragraph" w:styleId="Title">
    <w:name w:val="Title"/>
    <w:basedOn w:val="Normal"/>
    <w:next w:val="Normal"/>
    <w:link w:val="TitleChar"/>
    <w:uiPriority w:val="10"/>
    <w:qFormat/>
    <w:rsid w:val="004E7BB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7B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7BB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7B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7BB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E7BBB"/>
    <w:rPr>
      <w:i/>
      <w:iCs/>
      <w:color w:val="404040" w:themeColor="text1" w:themeTint="BF"/>
    </w:rPr>
  </w:style>
  <w:style w:type="paragraph" w:styleId="ListParagraph">
    <w:name w:val="List Paragraph"/>
    <w:basedOn w:val="Normal"/>
    <w:link w:val="ListParagraphChar"/>
    <w:uiPriority w:val="34"/>
    <w:qFormat/>
    <w:rsid w:val="004E7BBB"/>
    <w:pPr>
      <w:ind w:left="720"/>
      <w:contextualSpacing/>
    </w:pPr>
  </w:style>
  <w:style w:type="character" w:styleId="IntenseEmphasis">
    <w:name w:val="Intense Emphasis"/>
    <w:basedOn w:val="DefaultParagraphFont"/>
    <w:uiPriority w:val="21"/>
    <w:qFormat/>
    <w:rsid w:val="004E7BBB"/>
    <w:rPr>
      <w:i/>
      <w:iCs/>
      <w:color w:val="0F4761" w:themeColor="accent1" w:themeShade="BF"/>
    </w:rPr>
  </w:style>
  <w:style w:type="paragraph" w:styleId="IntenseQuote">
    <w:name w:val="Intense Quote"/>
    <w:basedOn w:val="Normal"/>
    <w:next w:val="Normal"/>
    <w:link w:val="IntenseQuoteChar"/>
    <w:uiPriority w:val="30"/>
    <w:qFormat/>
    <w:rsid w:val="004E7B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7BBB"/>
    <w:rPr>
      <w:i/>
      <w:iCs/>
      <w:color w:val="0F4761" w:themeColor="accent1" w:themeShade="BF"/>
    </w:rPr>
  </w:style>
  <w:style w:type="character" w:styleId="IntenseReference">
    <w:name w:val="Intense Reference"/>
    <w:basedOn w:val="DefaultParagraphFont"/>
    <w:uiPriority w:val="32"/>
    <w:qFormat/>
    <w:rsid w:val="004E7BBB"/>
    <w:rPr>
      <w:b/>
      <w:bCs/>
      <w:smallCaps/>
      <w:color w:val="0F4761" w:themeColor="accent1" w:themeShade="BF"/>
      <w:spacing w:val="5"/>
    </w:rPr>
  </w:style>
  <w:style w:type="character" w:styleId="Hyperlink">
    <w:name w:val="Hyperlink"/>
    <w:basedOn w:val="DefaultParagraphFont"/>
    <w:uiPriority w:val="99"/>
    <w:unhideWhenUsed/>
    <w:rsid w:val="004E7BBB"/>
    <w:rPr>
      <w:color w:val="467886" w:themeColor="hyperlink"/>
      <w:u w:val="single"/>
    </w:rPr>
  </w:style>
  <w:style w:type="character" w:styleId="UnresolvedMention">
    <w:name w:val="Unresolved Mention"/>
    <w:basedOn w:val="DefaultParagraphFont"/>
    <w:uiPriority w:val="99"/>
    <w:semiHidden/>
    <w:unhideWhenUsed/>
    <w:rsid w:val="004E7BBB"/>
    <w:rPr>
      <w:color w:val="605E5C"/>
      <w:shd w:val="clear" w:color="auto" w:fill="E1DFDD"/>
    </w:rPr>
  </w:style>
  <w:style w:type="paragraph" w:styleId="NormalWeb">
    <w:name w:val="Normal (Web)"/>
    <w:basedOn w:val="Normal"/>
    <w:uiPriority w:val="99"/>
    <w:rsid w:val="004E7BBB"/>
    <w:pPr>
      <w:spacing w:before="100" w:beforeAutospacing="1" w:after="100" w:afterAutospacing="1"/>
    </w:pPr>
    <w:rPr>
      <w:rFonts w:ascii="Times New Roman" w:eastAsia="Times New Roman" w:hAnsi="Times New Roman" w:cs="Times New Roman"/>
      <w:kern w:val="0"/>
      <w:lang w:val="fr-FR" w:eastAsia="fr-FR"/>
      <w14:ligatures w14:val="none"/>
    </w:rPr>
  </w:style>
  <w:style w:type="character" w:customStyle="1" w:styleId="ListParagraphChar">
    <w:name w:val="List Paragraph Char"/>
    <w:basedOn w:val="DefaultParagraphFont"/>
    <w:link w:val="ListParagraph"/>
    <w:uiPriority w:val="34"/>
    <w:rsid w:val="004E7BBB"/>
  </w:style>
  <w:style w:type="paragraph" w:styleId="NoSpacing">
    <w:name w:val="No Spacing"/>
    <w:uiPriority w:val="1"/>
    <w:qFormat/>
    <w:rsid w:val="004E7BBB"/>
    <w:rPr>
      <w:kern w:val="0"/>
      <w:lang w:val="fr-FR"/>
      <w14:ligatures w14:val="none"/>
    </w:rPr>
  </w:style>
  <w:style w:type="paragraph" w:styleId="Bibliography">
    <w:name w:val="Bibliography"/>
    <w:basedOn w:val="Normal"/>
    <w:next w:val="Normal"/>
    <w:uiPriority w:val="37"/>
    <w:unhideWhenUsed/>
    <w:rsid w:val="00E8605F"/>
    <w:pPr>
      <w:tabs>
        <w:tab w:val="left" w:pos="380"/>
      </w:tabs>
      <w:ind w:left="384" w:hanging="3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c.scherlinger@chru-strasbourg.f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2187</Words>
  <Characters>12467</Characters>
  <Application>Microsoft Office Word</Application>
  <DocSecurity>0</DocSecurity>
  <Lines>103</Lines>
  <Paragraphs>29</Paragraphs>
  <ScaleCrop>false</ScaleCrop>
  <Company/>
  <LinksUpToDate>false</LinksUpToDate>
  <CharactersWithSpaces>14625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scherlinger</dc:creator>
  <cp:keywords/>
  <dc:description/>
  <cp:lastModifiedBy>marc scherlinger</cp:lastModifiedBy>
  <cp:revision>9</cp:revision>
  <dcterms:created xsi:type="dcterms:W3CDTF">2024-12-02T06:02:00Z</dcterms:created>
  <dcterms:modified xsi:type="dcterms:W3CDTF">2024-12-03T05:53:00Z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id="1ZW6R6mH"/&gt;&lt;style id="http://www.zotero.org/styles/elsevier-vancouver" hasBibliography="1" bibliographyStyleHasBeenSet="1"/&gt;&lt;prefs&gt;&lt;pref name="fieldType" value="Field"/&gt;&lt;/prefs&gt;&lt;/data&gt;</vt:lpwstr>
  </property>
</Properties>
</file>