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24761" w14:textId="4C31E0E9" w:rsidR="00770599" w:rsidRDefault="003F52B0" w:rsidP="003F52B0">
      <w:pPr>
        <w:pStyle w:val="NormalWeb"/>
        <w:jc w:val="center"/>
        <w:divId w:val="1557158414"/>
        <w:rPr>
          <w:rStyle w:val="lev"/>
          <w:rFonts w:asciiTheme="minorHAnsi" w:hAnsiTheme="minorHAnsi" w:cstheme="minorHAnsi"/>
          <w:color w:val="111111"/>
          <w:sz w:val="28"/>
          <w:szCs w:val="28"/>
          <w:lang w:val="fr-FR"/>
        </w:rPr>
      </w:pPr>
      <w:r>
        <w:rPr>
          <w:rStyle w:val="lev"/>
          <w:rFonts w:asciiTheme="minorHAnsi" w:hAnsiTheme="minorHAnsi" w:cstheme="minorHAnsi"/>
          <w:color w:val="111111"/>
          <w:sz w:val="28"/>
          <w:szCs w:val="28"/>
          <w:lang w:val="fr-FR"/>
        </w:rPr>
        <w:t>N</w:t>
      </w:r>
      <w:r w:rsidR="00770599" w:rsidRPr="00770599">
        <w:rPr>
          <w:rStyle w:val="lev"/>
          <w:rFonts w:asciiTheme="minorHAnsi" w:hAnsiTheme="minorHAnsi" w:cstheme="minorHAnsi"/>
          <w:color w:val="111111"/>
          <w:sz w:val="28"/>
          <w:szCs w:val="28"/>
          <w:lang w:val="fr-FR"/>
        </w:rPr>
        <w:t>otice d’information</w:t>
      </w:r>
    </w:p>
    <w:p w14:paraId="6D090756" w14:textId="5B8FD2E3" w:rsidR="00770599" w:rsidRDefault="00770599" w:rsidP="00770599">
      <w:pPr>
        <w:pStyle w:val="NormalWeb"/>
        <w:jc w:val="center"/>
        <w:divId w:val="1557158414"/>
        <w:rPr>
          <w:rFonts w:asciiTheme="minorHAnsi" w:hAnsiTheme="minorHAnsi" w:cstheme="minorHAnsi"/>
          <w:color w:val="111111"/>
          <w:sz w:val="28"/>
          <w:szCs w:val="28"/>
          <w:lang w:val="fr-FR"/>
        </w:rPr>
      </w:pPr>
      <w:r w:rsidRPr="00770599">
        <w:rPr>
          <w:rFonts w:asciiTheme="minorHAnsi" w:hAnsiTheme="minorHAnsi" w:cstheme="minorHAnsi"/>
          <w:color w:val="111111"/>
          <w:sz w:val="28"/>
          <w:szCs w:val="28"/>
          <w:lang w:val="fr-FR"/>
        </w:rPr>
        <w:t xml:space="preserve">Participation à une série de cas sur l’utilisation du bimékizumab </w:t>
      </w:r>
    </w:p>
    <w:p w14:paraId="0E6B69CD" w14:textId="4821F501" w:rsidR="00AA3C25" w:rsidRPr="00770599" w:rsidRDefault="00770599" w:rsidP="003F52B0">
      <w:pPr>
        <w:pStyle w:val="NormalWeb"/>
        <w:jc w:val="center"/>
        <w:divId w:val="1557158414"/>
        <w:rPr>
          <w:rFonts w:asciiTheme="minorHAnsi" w:hAnsiTheme="minorHAnsi" w:cstheme="minorHAnsi"/>
          <w:color w:val="111111"/>
          <w:sz w:val="28"/>
          <w:szCs w:val="28"/>
          <w:lang w:val="fr-FR"/>
        </w:rPr>
      </w:pPr>
      <w:proofErr w:type="gramStart"/>
      <w:r w:rsidRPr="00770599">
        <w:rPr>
          <w:rFonts w:asciiTheme="minorHAnsi" w:hAnsiTheme="minorHAnsi" w:cstheme="minorHAnsi"/>
          <w:color w:val="111111"/>
          <w:sz w:val="28"/>
          <w:szCs w:val="28"/>
          <w:lang w:val="fr-FR"/>
        </w:rPr>
        <w:t>dans</w:t>
      </w:r>
      <w:proofErr w:type="gramEnd"/>
      <w:r w:rsidRPr="00770599">
        <w:rPr>
          <w:rFonts w:asciiTheme="minorHAnsi" w:hAnsiTheme="minorHAnsi" w:cstheme="minorHAnsi"/>
          <w:color w:val="111111"/>
          <w:sz w:val="28"/>
          <w:szCs w:val="28"/>
          <w:lang w:val="fr-FR"/>
        </w:rPr>
        <w:t xml:space="preserve"> le syndrome SAPHO</w:t>
      </w:r>
      <w:r w:rsidR="003F52B0">
        <w:rPr>
          <w:rFonts w:asciiTheme="minorHAnsi" w:hAnsiTheme="minorHAnsi" w:cstheme="minorHAnsi"/>
          <w:color w:val="111111"/>
          <w:sz w:val="28"/>
          <w:szCs w:val="28"/>
          <w:lang w:val="fr-FR"/>
        </w:rPr>
        <w:t xml:space="preserve"> ou l’o</w:t>
      </w:r>
      <w:r w:rsidR="003F52B0" w:rsidRPr="003F52B0">
        <w:rPr>
          <w:rFonts w:asciiTheme="minorHAnsi" w:hAnsiTheme="minorHAnsi" w:cstheme="minorHAnsi"/>
          <w:color w:val="111111"/>
          <w:sz w:val="28"/>
          <w:szCs w:val="28"/>
          <w:lang w:val="fr-FR"/>
        </w:rPr>
        <w:t>stéite chronique non bactérienne</w:t>
      </w:r>
    </w:p>
    <w:p w14:paraId="49C6A52E" w14:textId="77777777" w:rsidR="00770599" w:rsidRPr="00770599" w:rsidRDefault="00770599" w:rsidP="00770599">
      <w:pPr>
        <w:pStyle w:val="NormalWeb"/>
        <w:jc w:val="both"/>
        <w:divId w:val="1557158414"/>
        <w:rPr>
          <w:rStyle w:val="lev"/>
          <w:rFonts w:asciiTheme="minorHAnsi" w:hAnsiTheme="minorHAnsi" w:cstheme="minorHAnsi"/>
          <w:color w:val="111111"/>
          <w:lang w:val="fr-FR"/>
        </w:rPr>
      </w:pPr>
    </w:p>
    <w:p w14:paraId="64BBA907" w14:textId="77777777" w:rsidR="00770599" w:rsidRPr="00770599" w:rsidRDefault="00770599" w:rsidP="00770599">
      <w:pPr>
        <w:pStyle w:val="NormalWeb"/>
        <w:jc w:val="both"/>
        <w:divId w:val="1557158414"/>
        <w:rPr>
          <w:rStyle w:val="lev"/>
          <w:rFonts w:asciiTheme="minorHAnsi" w:hAnsiTheme="minorHAnsi" w:cstheme="minorHAnsi"/>
          <w:color w:val="111111"/>
          <w:lang w:val="fr-FR"/>
        </w:rPr>
      </w:pPr>
    </w:p>
    <w:p w14:paraId="0E507126" w14:textId="77777777" w:rsidR="00AA3C25" w:rsidRPr="00770599" w:rsidRDefault="00770599" w:rsidP="00770599">
      <w:pPr>
        <w:pStyle w:val="NormalWeb"/>
        <w:jc w:val="both"/>
        <w:divId w:val="1557158414"/>
        <w:rPr>
          <w:rFonts w:asciiTheme="minorHAnsi" w:hAnsiTheme="minorHAnsi" w:cstheme="minorHAnsi"/>
          <w:color w:val="111111"/>
          <w:lang w:val="fr-FR"/>
        </w:rPr>
      </w:pPr>
      <w:r w:rsidRPr="00770599">
        <w:rPr>
          <w:rStyle w:val="lev"/>
          <w:rFonts w:asciiTheme="minorHAnsi" w:hAnsiTheme="minorHAnsi" w:cstheme="minorHAnsi"/>
          <w:color w:val="111111"/>
          <w:lang w:val="fr-FR"/>
        </w:rPr>
        <w:t>Cher(e) patient(e),</w:t>
      </w:r>
    </w:p>
    <w:p w14:paraId="3F117F18" w14:textId="6A169C98" w:rsidR="00AA3C25" w:rsidRPr="00770599" w:rsidRDefault="00770599" w:rsidP="00770599">
      <w:pPr>
        <w:pStyle w:val="NormalWeb"/>
        <w:jc w:val="both"/>
        <w:divId w:val="1557158414"/>
        <w:rPr>
          <w:rFonts w:asciiTheme="minorHAnsi" w:hAnsiTheme="minorHAnsi" w:cstheme="minorHAnsi"/>
          <w:color w:val="111111"/>
          <w:lang w:val="fr-FR"/>
        </w:rPr>
      </w:pPr>
      <w:r w:rsidRPr="00770599">
        <w:rPr>
          <w:rFonts w:asciiTheme="minorHAnsi" w:hAnsiTheme="minorHAnsi" w:cstheme="minorHAnsi"/>
          <w:color w:val="111111"/>
          <w:lang w:val="fr-FR"/>
        </w:rPr>
        <w:t>Vous faites partie d’un projet médical visant à documenter l’</w:t>
      </w:r>
      <w:r w:rsidRPr="00770599">
        <w:rPr>
          <w:rStyle w:val="lev"/>
          <w:rFonts w:asciiTheme="minorHAnsi" w:hAnsiTheme="minorHAnsi" w:cstheme="minorHAnsi"/>
          <w:color w:val="111111"/>
          <w:lang w:val="fr-FR"/>
        </w:rPr>
        <w:t>efficacité et la tolérance du bimékizumab</w:t>
      </w:r>
      <w:r w:rsidRPr="00770599">
        <w:rPr>
          <w:rFonts w:asciiTheme="minorHAnsi" w:hAnsiTheme="minorHAnsi" w:cstheme="minorHAnsi"/>
          <w:color w:val="111111"/>
          <w:lang w:val="fr-FR"/>
        </w:rPr>
        <w:t xml:space="preserve"> dans le </w:t>
      </w:r>
      <w:r w:rsidRPr="00770599">
        <w:rPr>
          <w:rStyle w:val="lev"/>
          <w:rFonts w:asciiTheme="minorHAnsi" w:hAnsiTheme="minorHAnsi" w:cstheme="minorHAnsi"/>
          <w:color w:val="111111"/>
          <w:lang w:val="fr-FR"/>
        </w:rPr>
        <w:t>syndrome SAPHO</w:t>
      </w:r>
      <w:r w:rsidRPr="00770599">
        <w:rPr>
          <w:rFonts w:asciiTheme="minorHAnsi" w:hAnsiTheme="minorHAnsi" w:cstheme="minorHAnsi"/>
          <w:color w:val="111111"/>
          <w:lang w:val="fr-FR"/>
        </w:rPr>
        <w:t xml:space="preserve"> (Synovite-Acné-</w:t>
      </w:r>
      <w:proofErr w:type="spellStart"/>
      <w:r w:rsidRPr="00770599">
        <w:rPr>
          <w:rFonts w:asciiTheme="minorHAnsi" w:hAnsiTheme="minorHAnsi" w:cstheme="minorHAnsi"/>
          <w:color w:val="111111"/>
          <w:lang w:val="fr-FR"/>
        </w:rPr>
        <w:t>Pustulose</w:t>
      </w:r>
      <w:proofErr w:type="spellEnd"/>
      <w:r w:rsidRPr="00770599">
        <w:rPr>
          <w:rFonts w:asciiTheme="minorHAnsi" w:hAnsiTheme="minorHAnsi" w:cstheme="minorHAnsi"/>
          <w:color w:val="111111"/>
          <w:lang w:val="fr-FR"/>
        </w:rPr>
        <w:t>-Hyperostose-Ostéite)</w:t>
      </w:r>
      <w:r w:rsidR="003F52B0" w:rsidRPr="00B34EAA">
        <w:rPr>
          <w:lang w:val="fr-FR"/>
        </w:rPr>
        <w:t xml:space="preserve"> </w:t>
      </w:r>
      <w:r w:rsidR="003F52B0" w:rsidRPr="003F52B0">
        <w:rPr>
          <w:rFonts w:asciiTheme="minorHAnsi" w:hAnsiTheme="minorHAnsi" w:cstheme="minorHAnsi"/>
          <w:color w:val="111111"/>
          <w:lang w:val="fr-FR"/>
        </w:rPr>
        <w:t>ou l’ostéite chronique non bactérienne</w:t>
      </w:r>
      <w:r w:rsidR="003F52B0">
        <w:rPr>
          <w:rFonts w:asciiTheme="minorHAnsi" w:hAnsiTheme="minorHAnsi" w:cstheme="minorHAnsi"/>
          <w:color w:val="111111"/>
          <w:lang w:val="fr-FR"/>
        </w:rPr>
        <w:t xml:space="preserve"> (CNO)</w:t>
      </w:r>
      <w:r w:rsidRPr="00770599">
        <w:rPr>
          <w:rFonts w:asciiTheme="minorHAnsi" w:hAnsiTheme="minorHAnsi" w:cstheme="minorHAnsi"/>
          <w:color w:val="111111"/>
          <w:lang w:val="fr-FR"/>
        </w:rPr>
        <w:t>. Cette notice vous informe des finalités, des modalités, et de vos droits en tant que participant(e).</w:t>
      </w:r>
    </w:p>
    <w:p w14:paraId="1D458FB7" w14:textId="77777777" w:rsidR="00770599" w:rsidRPr="005A35CF" w:rsidRDefault="00770599" w:rsidP="00770599">
      <w:pPr>
        <w:pStyle w:val="Titre3"/>
        <w:jc w:val="both"/>
        <w:divId w:val="1557158414"/>
        <w:rPr>
          <w:rStyle w:val="lev"/>
          <w:rFonts w:asciiTheme="minorHAnsi" w:eastAsia="Times New Roman" w:hAnsiTheme="minorHAnsi" w:cstheme="minorHAnsi"/>
          <w:b/>
          <w:bCs/>
          <w:color w:val="111111"/>
          <w:sz w:val="24"/>
          <w:szCs w:val="24"/>
          <w:lang w:val="fr-FR"/>
        </w:rPr>
      </w:pPr>
    </w:p>
    <w:p w14:paraId="10A72AB6" w14:textId="77777777" w:rsidR="00AA3C25" w:rsidRPr="00770599" w:rsidRDefault="00770599" w:rsidP="00770599">
      <w:pPr>
        <w:pStyle w:val="Titre3"/>
        <w:jc w:val="both"/>
        <w:divId w:val="1557158414"/>
        <w:rPr>
          <w:rFonts w:asciiTheme="minorHAnsi" w:eastAsia="Times New Roman" w:hAnsiTheme="minorHAnsi" w:cstheme="minorHAnsi"/>
          <w:color w:val="111111"/>
          <w:sz w:val="24"/>
          <w:szCs w:val="24"/>
        </w:rPr>
      </w:pPr>
      <w:r w:rsidRPr="00770599">
        <w:rPr>
          <w:rStyle w:val="lev"/>
          <w:rFonts w:asciiTheme="minorHAnsi" w:eastAsia="Times New Roman" w:hAnsiTheme="minorHAnsi" w:cstheme="minorHAnsi"/>
          <w:b/>
          <w:bCs/>
          <w:color w:val="111111"/>
          <w:sz w:val="24"/>
          <w:szCs w:val="24"/>
        </w:rPr>
        <w:t xml:space="preserve">But de </w:t>
      </w:r>
      <w:proofErr w:type="spellStart"/>
      <w:r w:rsidRPr="00770599">
        <w:rPr>
          <w:rStyle w:val="lev"/>
          <w:rFonts w:asciiTheme="minorHAnsi" w:eastAsia="Times New Roman" w:hAnsiTheme="minorHAnsi" w:cstheme="minorHAnsi"/>
          <w:b/>
          <w:bCs/>
          <w:color w:val="111111"/>
          <w:sz w:val="24"/>
          <w:szCs w:val="24"/>
        </w:rPr>
        <w:t>l’étude</w:t>
      </w:r>
      <w:proofErr w:type="spellEnd"/>
    </w:p>
    <w:p w14:paraId="781E49AD" w14:textId="556CC35B" w:rsidR="00AA3C25" w:rsidRPr="00770599" w:rsidRDefault="00770599" w:rsidP="003F52B0">
      <w:pPr>
        <w:numPr>
          <w:ilvl w:val="0"/>
          <w:numId w:val="1"/>
        </w:numPr>
        <w:spacing w:before="100" w:beforeAutospacing="1" w:after="100" w:afterAutospacing="1"/>
        <w:jc w:val="both"/>
        <w:divId w:val="1557158414"/>
        <w:rPr>
          <w:rFonts w:asciiTheme="minorHAnsi" w:eastAsia="Times New Roman" w:hAnsiTheme="minorHAnsi" w:cstheme="minorHAnsi"/>
          <w:color w:val="111111"/>
          <w:lang w:val="fr-FR"/>
        </w:rPr>
      </w:pPr>
      <w:r w:rsidRPr="00770599">
        <w:rPr>
          <w:rStyle w:val="lev"/>
          <w:rFonts w:asciiTheme="minorHAnsi" w:eastAsia="Times New Roman" w:hAnsiTheme="minorHAnsi" w:cstheme="minorHAnsi"/>
          <w:color w:val="111111"/>
          <w:lang w:val="fr-FR"/>
        </w:rPr>
        <w:t>Objectif</w:t>
      </w:r>
      <w:r w:rsidRPr="00770599">
        <w:rPr>
          <w:rFonts w:asciiTheme="minorHAnsi" w:eastAsia="Times New Roman" w:hAnsiTheme="minorHAnsi" w:cstheme="minorHAnsi"/>
          <w:color w:val="111111"/>
          <w:lang w:val="fr-FR"/>
        </w:rPr>
        <w:t xml:space="preserve"> : Décrire l’effet du bimékizumab (anti-IL-17A/IL-17F) sur les manifestations </w:t>
      </w:r>
      <w:r w:rsidRPr="00770599">
        <w:rPr>
          <w:rStyle w:val="lev"/>
          <w:rFonts w:asciiTheme="minorHAnsi" w:eastAsia="Times New Roman" w:hAnsiTheme="minorHAnsi" w:cstheme="minorHAnsi"/>
          <w:color w:val="111111"/>
          <w:lang w:val="fr-FR"/>
        </w:rPr>
        <w:t>ostéo-articulaires</w:t>
      </w:r>
      <w:r w:rsidRPr="00770599">
        <w:rPr>
          <w:rFonts w:asciiTheme="minorHAnsi" w:eastAsia="Times New Roman" w:hAnsiTheme="minorHAnsi" w:cstheme="minorHAnsi"/>
          <w:color w:val="111111"/>
          <w:lang w:val="fr-FR"/>
        </w:rPr>
        <w:t xml:space="preserve"> et </w:t>
      </w:r>
      <w:r w:rsidRPr="00770599">
        <w:rPr>
          <w:rStyle w:val="lev"/>
          <w:rFonts w:asciiTheme="minorHAnsi" w:eastAsia="Times New Roman" w:hAnsiTheme="minorHAnsi" w:cstheme="minorHAnsi"/>
          <w:color w:val="111111"/>
          <w:lang w:val="fr-FR"/>
        </w:rPr>
        <w:t>cutanées</w:t>
      </w:r>
      <w:r w:rsidRPr="00770599">
        <w:rPr>
          <w:rFonts w:asciiTheme="minorHAnsi" w:eastAsia="Times New Roman" w:hAnsiTheme="minorHAnsi" w:cstheme="minorHAnsi"/>
          <w:color w:val="111111"/>
          <w:lang w:val="fr-FR"/>
        </w:rPr>
        <w:t xml:space="preserve"> du </w:t>
      </w:r>
      <w:r w:rsidR="005A35CF">
        <w:rPr>
          <w:rFonts w:asciiTheme="minorHAnsi" w:eastAsia="Times New Roman" w:hAnsiTheme="minorHAnsi" w:cstheme="minorHAnsi"/>
          <w:color w:val="111111"/>
          <w:lang w:val="fr-FR"/>
        </w:rPr>
        <w:t xml:space="preserve">syndrome </w:t>
      </w:r>
      <w:r w:rsidRPr="00770599">
        <w:rPr>
          <w:rFonts w:asciiTheme="minorHAnsi" w:eastAsia="Times New Roman" w:hAnsiTheme="minorHAnsi" w:cstheme="minorHAnsi"/>
          <w:color w:val="111111"/>
          <w:lang w:val="fr-FR"/>
        </w:rPr>
        <w:t xml:space="preserve">SAPHO, </w:t>
      </w:r>
      <w:r w:rsidR="003F52B0">
        <w:rPr>
          <w:rFonts w:asciiTheme="minorHAnsi" w:eastAsia="Times New Roman" w:hAnsiTheme="minorHAnsi" w:cstheme="minorHAnsi"/>
          <w:color w:val="111111"/>
          <w:lang w:val="fr-FR"/>
        </w:rPr>
        <w:t>ou de</w:t>
      </w:r>
      <w:r w:rsidR="003F52B0" w:rsidRPr="003F52B0">
        <w:rPr>
          <w:rFonts w:asciiTheme="minorHAnsi" w:eastAsia="Times New Roman" w:hAnsiTheme="minorHAnsi" w:cstheme="minorHAnsi"/>
          <w:color w:val="111111"/>
          <w:lang w:val="fr-FR"/>
        </w:rPr>
        <w:t xml:space="preserve"> l’ostéite chronique non bactérienne </w:t>
      </w:r>
      <w:r w:rsidRPr="00770599">
        <w:rPr>
          <w:rFonts w:asciiTheme="minorHAnsi" w:eastAsia="Times New Roman" w:hAnsiTheme="minorHAnsi" w:cstheme="minorHAnsi"/>
          <w:color w:val="111111"/>
          <w:lang w:val="fr-FR"/>
        </w:rPr>
        <w:t>ainsi que sa tolérance.</w:t>
      </w:r>
    </w:p>
    <w:p w14:paraId="3CFD6F94" w14:textId="4E725AAA" w:rsidR="00AA3C25" w:rsidRPr="00770599" w:rsidRDefault="00770599" w:rsidP="00770599">
      <w:pPr>
        <w:numPr>
          <w:ilvl w:val="0"/>
          <w:numId w:val="1"/>
        </w:numPr>
        <w:spacing w:before="100" w:beforeAutospacing="1" w:after="100" w:afterAutospacing="1"/>
        <w:jc w:val="both"/>
        <w:divId w:val="1557158414"/>
        <w:rPr>
          <w:rFonts w:asciiTheme="minorHAnsi" w:eastAsia="Times New Roman" w:hAnsiTheme="minorHAnsi" w:cstheme="minorHAnsi"/>
          <w:color w:val="111111"/>
          <w:lang w:val="fr-FR"/>
        </w:rPr>
      </w:pPr>
      <w:r w:rsidRPr="00770599">
        <w:rPr>
          <w:rStyle w:val="lev"/>
          <w:rFonts w:asciiTheme="minorHAnsi" w:eastAsia="Times New Roman" w:hAnsiTheme="minorHAnsi" w:cstheme="minorHAnsi"/>
          <w:color w:val="111111"/>
          <w:lang w:val="fr-FR"/>
        </w:rPr>
        <w:t>Finalité</w:t>
      </w:r>
      <w:r w:rsidRPr="00770599">
        <w:rPr>
          <w:rFonts w:asciiTheme="minorHAnsi" w:eastAsia="Times New Roman" w:hAnsiTheme="minorHAnsi" w:cstheme="minorHAnsi"/>
          <w:color w:val="111111"/>
          <w:lang w:val="fr-FR"/>
        </w:rPr>
        <w:t xml:space="preserve"> : Contribuer à une meilleure prise en charge des patients </w:t>
      </w:r>
      <w:r w:rsidR="005A35CF">
        <w:rPr>
          <w:rFonts w:asciiTheme="minorHAnsi" w:eastAsia="Times New Roman" w:hAnsiTheme="minorHAnsi" w:cstheme="minorHAnsi"/>
          <w:color w:val="111111"/>
          <w:lang w:val="fr-FR"/>
        </w:rPr>
        <w:t xml:space="preserve">ayant un syndrome </w:t>
      </w:r>
      <w:r w:rsidRPr="00770599">
        <w:rPr>
          <w:rFonts w:asciiTheme="minorHAnsi" w:eastAsia="Times New Roman" w:hAnsiTheme="minorHAnsi" w:cstheme="minorHAnsi"/>
          <w:color w:val="111111"/>
          <w:lang w:val="fr-FR"/>
        </w:rPr>
        <w:t>SAPHO</w:t>
      </w:r>
      <w:r w:rsidR="003F52B0">
        <w:rPr>
          <w:rFonts w:asciiTheme="minorHAnsi" w:eastAsia="Times New Roman" w:hAnsiTheme="minorHAnsi" w:cstheme="minorHAnsi"/>
          <w:color w:val="111111"/>
          <w:lang w:val="fr-FR"/>
        </w:rPr>
        <w:t xml:space="preserve"> / CNO</w:t>
      </w:r>
      <w:r w:rsidRPr="00770599">
        <w:rPr>
          <w:rFonts w:asciiTheme="minorHAnsi" w:eastAsia="Times New Roman" w:hAnsiTheme="minorHAnsi" w:cstheme="minorHAnsi"/>
          <w:color w:val="111111"/>
          <w:lang w:val="fr-FR"/>
        </w:rPr>
        <w:t>, en particulier dans les cas réfractaires aux traitements classiques.</w:t>
      </w:r>
    </w:p>
    <w:p w14:paraId="38F4CB73" w14:textId="586411B9" w:rsidR="003F52B0" w:rsidRPr="003F52B0" w:rsidRDefault="00770599" w:rsidP="003F52B0">
      <w:pPr>
        <w:numPr>
          <w:ilvl w:val="0"/>
          <w:numId w:val="1"/>
        </w:numPr>
        <w:spacing w:before="100" w:beforeAutospacing="1" w:after="100" w:afterAutospacing="1"/>
        <w:jc w:val="both"/>
        <w:divId w:val="1557158414"/>
        <w:rPr>
          <w:rFonts w:asciiTheme="minorHAnsi" w:eastAsia="Times New Roman" w:hAnsiTheme="minorHAnsi" w:cstheme="minorHAnsi"/>
          <w:color w:val="111111"/>
          <w:lang w:val="fr-FR"/>
        </w:rPr>
      </w:pPr>
      <w:r w:rsidRPr="00770599">
        <w:rPr>
          <w:rStyle w:val="lev"/>
          <w:rFonts w:asciiTheme="minorHAnsi" w:eastAsia="Times New Roman" w:hAnsiTheme="minorHAnsi" w:cstheme="minorHAnsi"/>
          <w:color w:val="111111"/>
          <w:lang w:val="fr-FR"/>
        </w:rPr>
        <w:t>Type d’étude</w:t>
      </w:r>
      <w:r w:rsidRPr="00770599">
        <w:rPr>
          <w:rFonts w:asciiTheme="minorHAnsi" w:eastAsia="Times New Roman" w:hAnsiTheme="minorHAnsi" w:cstheme="minorHAnsi"/>
          <w:color w:val="111111"/>
          <w:lang w:val="fr-FR"/>
        </w:rPr>
        <w:t xml:space="preserve"> : </w:t>
      </w:r>
      <w:r w:rsidRPr="00770599">
        <w:rPr>
          <w:rStyle w:val="lev"/>
          <w:rFonts w:asciiTheme="minorHAnsi" w:eastAsia="Times New Roman" w:hAnsiTheme="minorHAnsi" w:cstheme="minorHAnsi"/>
          <w:color w:val="111111"/>
          <w:lang w:val="fr-FR"/>
        </w:rPr>
        <w:t xml:space="preserve">Observationnelle rétrospective </w:t>
      </w:r>
      <w:r w:rsidRPr="00770599">
        <w:rPr>
          <w:rFonts w:asciiTheme="minorHAnsi" w:eastAsia="Times New Roman" w:hAnsiTheme="minorHAnsi" w:cstheme="minorHAnsi"/>
          <w:color w:val="111111"/>
          <w:lang w:val="fr-FR"/>
        </w:rPr>
        <w:t>(analyse des données existantes).</w:t>
      </w:r>
    </w:p>
    <w:p w14:paraId="770103E8" w14:textId="77777777" w:rsidR="003F52B0" w:rsidRDefault="003F52B0" w:rsidP="003F52B0">
      <w:pPr>
        <w:pStyle w:val="Titre3"/>
        <w:divId w:val="1557158414"/>
        <w:rPr>
          <w:rStyle w:val="lev"/>
          <w:rFonts w:asciiTheme="minorHAnsi" w:eastAsia="Times New Roman" w:hAnsiTheme="minorHAnsi" w:cstheme="minorHAnsi"/>
          <w:b/>
          <w:bCs/>
          <w:color w:val="111111"/>
          <w:sz w:val="24"/>
          <w:szCs w:val="24"/>
          <w:lang w:val="fr-FR"/>
        </w:rPr>
      </w:pPr>
    </w:p>
    <w:p w14:paraId="0C1766C7" w14:textId="1208CF2F" w:rsidR="003F52B0" w:rsidRPr="003F52B0" w:rsidRDefault="003F52B0" w:rsidP="003F52B0">
      <w:pPr>
        <w:pStyle w:val="Titre3"/>
        <w:divId w:val="1557158414"/>
        <w:rPr>
          <w:rStyle w:val="lev"/>
          <w:rFonts w:asciiTheme="minorHAnsi" w:eastAsia="Times New Roman" w:hAnsiTheme="minorHAnsi" w:cstheme="minorHAnsi"/>
          <w:b/>
          <w:bCs/>
          <w:color w:val="111111"/>
          <w:sz w:val="24"/>
          <w:szCs w:val="24"/>
          <w:lang w:val="fr-FR"/>
        </w:rPr>
      </w:pPr>
      <w:r w:rsidRPr="003F52B0">
        <w:rPr>
          <w:rStyle w:val="lev"/>
          <w:rFonts w:asciiTheme="minorHAnsi" w:eastAsia="Times New Roman" w:hAnsiTheme="minorHAnsi" w:cstheme="minorHAnsi"/>
          <w:b/>
          <w:bCs/>
          <w:color w:val="111111"/>
          <w:sz w:val="24"/>
          <w:szCs w:val="24"/>
          <w:lang w:val="fr-FR"/>
        </w:rPr>
        <w:t xml:space="preserve">Information concernant votre participation à </w:t>
      </w:r>
      <w:r>
        <w:rPr>
          <w:rStyle w:val="lev"/>
          <w:rFonts w:asciiTheme="minorHAnsi" w:eastAsia="Times New Roman" w:hAnsiTheme="minorHAnsi" w:cstheme="minorHAnsi"/>
          <w:b/>
          <w:bCs/>
          <w:color w:val="111111"/>
          <w:sz w:val="24"/>
          <w:szCs w:val="24"/>
          <w:lang w:val="fr-FR"/>
        </w:rPr>
        <w:t>cette</w:t>
      </w:r>
      <w:r w:rsidRPr="003F52B0">
        <w:rPr>
          <w:rStyle w:val="lev"/>
          <w:rFonts w:asciiTheme="minorHAnsi" w:eastAsia="Times New Roman" w:hAnsiTheme="minorHAnsi" w:cstheme="minorHAnsi"/>
          <w:b/>
          <w:bCs/>
          <w:color w:val="111111"/>
          <w:sz w:val="24"/>
          <w:szCs w:val="24"/>
          <w:lang w:val="fr-FR"/>
        </w:rPr>
        <w:t xml:space="preserve"> étude rétrospective</w:t>
      </w:r>
    </w:p>
    <w:p w14:paraId="26B1ADA1" w14:textId="77777777" w:rsidR="003F52B0" w:rsidRPr="00B34EAA" w:rsidRDefault="003F52B0" w:rsidP="00B34EAA">
      <w:pPr>
        <w:pStyle w:val="Titre3"/>
        <w:jc w:val="both"/>
        <w:divId w:val="1557158414"/>
        <w:rPr>
          <w:rStyle w:val="lev"/>
          <w:rFonts w:asciiTheme="minorHAnsi" w:eastAsia="Times New Roman" w:hAnsiTheme="minorHAnsi" w:cstheme="minorHAnsi"/>
          <w:color w:val="111111"/>
          <w:sz w:val="24"/>
          <w:szCs w:val="24"/>
          <w:lang w:val="fr-FR"/>
        </w:rPr>
      </w:pPr>
      <w:r w:rsidRPr="00B34EAA">
        <w:rPr>
          <w:rStyle w:val="lev"/>
          <w:rFonts w:asciiTheme="minorHAnsi" w:eastAsia="Times New Roman" w:hAnsiTheme="minorHAnsi" w:cstheme="minorHAnsi"/>
          <w:color w:val="111111"/>
          <w:sz w:val="24"/>
          <w:szCs w:val="24"/>
          <w:lang w:val="fr-FR"/>
        </w:rPr>
        <w:t>Dans le cadre de votre prise en charge, certaines données médicales vous concernant ont été recueillies et conservées dans votre dossier médical. Ces données peuvent être utilisées de manière anonymisée dans le cadre d’une étude rétrospective visant à améliorer les connaissances médicales et la qualité des soins. Cette étude ne modifie en rien votre prise en charge et n’entraîne aucun acte ou examen supplémentaire.</w:t>
      </w:r>
    </w:p>
    <w:p w14:paraId="14909E31" w14:textId="77777777" w:rsidR="003F52B0" w:rsidRPr="00B34EAA" w:rsidRDefault="003F52B0" w:rsidP="00B34EAA">
      <w:pPr>
        <w:pStyle w:val="Titre3"/>
        <w:jc w:val="both"/>
        <w:divId w:val="1557158414"/>
        <w:rPr>
          <w:rStyle w:val="lev"/>
          <w:rFonts w:asciiTheme="minorHAnsi" w:eastAsia="Times New Roman" w:hAnsiTheme="minorHAnsi" w:cstheme="minorHAnsi"/>
          <w:color w:val="111111"/>
          <w:sz w:val="24"/>
          <w:szCs w:val="24"/>
          <w:lang w:val="fr-FR"/>
        </w:rPr>
      </w:pPr>
      <w:r w:rsidRPr="00B34EAA">
        <w:rPr>
          <w:rStyle w:val="lev"/>
          <w:rFonts w:asciiTheme="minorHAnsi" w:eastAsia="Times New Roman" w:hAnsiTheme="minorHAnsi" w:cstheme="minorHAnsi"/>
          <w:color w:val="111111"/>
          <w:sz w:val="24"/>
          <w:szCs w:val="24"/>
          <w:lang w:val="fr-FR"/>
        </w:rPr>
        <w:t>Conformément à la réglementation en vigueur, votre participation à cette étude est automatique sauf si vous exprimez votre opposition. Vous êtes libre de refuser que vos données soient utilisées, sans avoir à vous justifier et sans aucune conséquence sur votre suivi médical ou vos relations avec les professionnels de santé.</w:t>
      </w:r>
    </w:p>
    <w:p w14:paraId="47E5AE5E" w14:textId="3DC0D79B" w:rsidR="003F52B0" w:rsidRPr="00770599" w:rsidRDefault="003F52B0" w:rsidP="00B34EAA">
      <w:pPr>
        <w:spacing w:before="100" w:beforeAutospacing="1" w:after="100" w:afterAutospacing="1"/>
        <w:jc w:val="both"/>
        <w:divId w:val="1557158414"/>
        <w:rPr>
          <w:rFonts w:asciiTheme="minorHAnsi" w:eastAsia="Times New Roman" w:hAnsiTheme="minorHAnsi" w:cstheme="minorHAnsi"/>
          <w:color w:val="111111"/>
          <w:lang w:val="fr-FR"/>
        </w:rPr>
      </w:pPr>
      <w:r w:rsidRPr="00B34EAA">
        <w:rPr>
          <w:rStyle w:val="lev"/>
          <w:rFonts w:asciiTheme="minorHAnsi" w:eastAsia="Times New Roman" w:hAnsiTheme="minorHAnsi" w:cstheme="minorHAnsi"/>
          <w:b w:val="0"/>
          <w:bCs w:val="0"/>
          <w:color w:val="111111"/>
          <w:lang w:val="fr-FR"/>
        </w:rPr>
        <w:t xml:space="preserve">Si vous souhaitez vous opposer à l’utilisation de vos données, ou exercer vos droits d’accès, de rectification, de limitation ou de suppression des données vous concernant, vous pouvez en faire la demande à tout moment en contactant </w:t>
      </w:r>
      <w:r w:rsidRPr="00770599">
        <w:rPr>
          <w:rFonts w:asciiTheme="minorHAnsi" w:eastAsia="Times New Roman" w:hAnsiTheme="minorHAnsi" w:cstheme="minorHAnsi"/>
          <w:color w:val="111111"/>
          <w:lang w:val="fr-FR"/>
        </w:rPr>
        <w:t xml:space="preserve">le responsable du projet Dr Renaud FELTEN, rhumatologue au CHU de Strasbourg : </w:t>
      </w:r>
      <w:hyperlink r:id="rId5" w:history="1">
        <w:r w:rsidRPr="00770599">
          <w:rPr>
            <w:rStyle w:val="Lienhypertexte"/>
            <w:rFonts w:asciiTheme="minorHAnsi" w:eastAsia="Times New Roman" w:hAnsiTheme="minorHAnsi" w:cstheme="minorHAnsi"/>
            <w:lang w:val="fr-FR"/>
          </w:rPr>
          <w:t>renaud.felten@chru-strasbourg.fr</w:t>
        </w:r>
      </w:hyperlink>
      <w:r w:rsidRPr="00770599">
        <w:rPr>
          <w:rFonts w:asciiTheme="minorHAnsi" w:eastAsia="Times New Roman" w:hAnsiTheme="minorHAnsi" w:cstheme="minorHAnsi"/>
          <w:color w:val="111111"/>
          <w:lang w:val="fr-FR"/>
        </w:rPr>
        <w:t xml:space="preserve"> </w:t>
      </w:r>
    </w:p>
    <w:p w14:paraId="5811CBD8" w14:textId="77777777" w:rsidR="003F52B0" w:rsidRPr="00B34EAA" w:rsidRDefault="003F52B0" w:rsidP="003F52B0">
      <w:pPr>
        <w:pStyle w:val="Titre3"/>
        <w:jc w:val="both"/>
        <w:divId w:val="1557158414"/>
        <w:rPr>
          <w:rStyle w:val="lev"/>
          <w:rFonts w:asciiTheme="minorHAnsi" w:eastAsia="Times New Roman" w:hAnsiTheme="minorHAnsi" w:cstheme="minorHAnsi"/>
          <w:color w:val="111111"/>
          <w:sz w:val="24"/>
          <w:szCs w:val="24"/>
          <w:lang w:val="fr-FR"/>
        </w:rPr>
      </w:pPr>
    </w:p>
    <w:p w14:paraId="101E839E" w14:textId="77777777" w:rsidR="00AA3C25" w:rsidRPr="00B34EAA" w:rsidRDefault="00770599" w:rsidP="00B34EAA">
      <w:pPr>
        <w:pStyle w:val="Titre3"/>
        <w:jc w:val="both"/>
        <w:divId w:val="1557158414"/>
        <w:rPr>
          <w:rFonts w:asciiTheme="minorHAnsi" w:hAnsiTheme="minorHAnsi" w:cstheme="minorHAnsi"/>
          <w:color w:val="111111"/>
        </w:rPr>
      </w:pPr>
      <w:proofErr w:type="spellStart"/>
      <w:r w:rsidRPr="003F52B0">
        <w:rPr>
          <w:rStyle w:val="lev"/>
          <w:rFonts w:asciiTheme="minorHAnsi" w:hAnsiTheme="minorHAnsi" w:cstheme="minorHAnsi"/>
          <w:b/>
          <w:bCs/>
          <w:color w:val="111111"/>
          <w:sz w:val="24"/>
          <w:szCs w:val="24"/>
        </w:rPr>
        <w:t>Quelles</w:t>
      </w:r>
      <w:proofErr w:type="spellEnd"/>
      <w:r w:rsidRPr="003F52B0">
        <w:rPr>
          <w:rStyle w:val="lev"/>
          <w:rFonts w:asciiTheme="minorHAnsi" w:hAnsiTheme="minorHAnsi" w:cstheme="minorHAnsi"/>
          <w:b/>
          <w:bCs/>
          <w:color w:val="111111"/>
          <w:sz w:val="24"/>
          <w:szCs w:val="24"/>
        </w:rPr>
        <w:t xml:space="preserve"> </w:t>
      </w:r>
      <w:proofErr w:type="spellStart"/>
      <w:r w:rsidRPr="003F52B0">
        <w:rPr>
          <w:rStyle w:val="lev"/>
          <w:rFonts w:asciiTheme="minorHAnsi" w:hAnsiTheme="minorHAnsi" w:cstheme="minorHAnsi"/>
          <w:b/>
          <w:bCs/>
          <w:color w:val="111111"/>
          <w:sz w:val="24"/>
          <w:szCs w:val="24"/>
        </w:rPr>
        <w:t>données</w:t>
      </w:r>
      <w:proofErr w:type="spellEnd"/>
      <w:r w:rsidRPr="003F52B0">
        <w:rPr>
          <w:rStyle w:val="lev"/>
          <w:rFonts w:asciiTheme="minorHAnsi" w:hAnsiTheme="minorHAnsi" w:cstheme="minorHAnsi"/>
          <w:b/>
          <w:bCs/>
          <w:color w:val="111111"/>
          <w:sz w:val="24"/>
          <w:szCs w:val="24"/>
        </w:rPr>
        <w:t xml:space="preserve"> </w:t>
      </w:r>
      <w:proofErr w:type="spellStart"/>
      <w:r w:rsidRPr="003F52B0">
        <w:rPr>
          <w:rStyle w:val="lev"/>
          <w:rFonts w:asciiTheme="minorHAnsi" w:hAnsiTheme="minorHAnsi" w:cstheme="minorHAnsi"/>
          <w:b/>
          <w:bCs/>
          <w:color w:val="111111"/>
          <w:sz w:val="24"/>
          <w:szCs w:val="24"/>
        </w:rPr>
        <w:t>sont</w:t>
      </w:r>
      <w:proofErr w:type="spellEnd"/>
      <w:r w:rsidRPr="003F52B0">
        <w:rPr>
          <w:rStyle w:val="lev"/>
          <w:rFonts w:asciiTheme="minorHAnsi" w:hAnsiTheme="minorHAnsi" w:cstheme="minorHAnsi"/>
          <w:b/>
          <w:bCs/>
          <w:color w:val="111111"/>
          <w:sz w:val="24"/>
          <w:szCs w:val="24"/>
        </w:rPr>
        <w:t xml:space="preserve"> </w:t>
      </w:r>
      <w:proofErr w:type="spellStart"/>
      <w:proofErr w:type="gramStart"/>
      <w:r w:rsidRPr="003F52B0">
        <w:rPr>
          <w:rStyle w:val="lev"/>
          <w:rFonts w:asciiTheme="minorHAnsi" w:hAnsiTheme="minorHAnsi" w:cstheme="minorHAnsi"/>
          <w:b/>
          <w:bCs/>
          <w:color w:val="111111"/>
          <w:sz w:val="24"/>
          <w:szCs w:val="24"/>
        </w:rPr>
        <w:t>collectées</w:t>
      </w:r>
      <w:proofErr w:type="spellEnd"/>
      <w:r w:rsidRPr="003F52B0">
        <w:rPr>
          <w:rStyle w:val="lev"/>
          <w:rFonts w:asciiTheme="minorHAnsi" w:hAnsiTheme="minorHAnsi" w:cstheme="minorHAnsi"/>
          <w:b/>
          <w:bCs/>
          <w:color w:val="111111"/>
          <w:sz w:val="24"/>
          <w:szCs w:val="24"/>
        </w:rPr>
        <w:t xml:space="preserve"> ?</w:t>
      </w:r>
      <w:proofErr w:type="gramEnd"/>
    </w:p>
    <w:p w14:paraId="7DAC05BC" w14:textId="77777777" w:rsidR="00AA3C25" w:rsidRPr="00770599" w:rsidRDefault="00770599" w:rsidP="00770599">
      <w:pPr>
        <w:numPr>
          <w:ilvl w:val="1"/>
          <w:numId w:val="2"/>
        </w:numPr>
        <w:spacing w:before="100" w:beforeAutospacing="1" w:after="100" w:afterAutospacing="1"/>
        <w:jc w:val="both"/>
        <w:divId w:val="1557158414"/>
        <w:rPr>
          <w:rFonts w:asciiTheme="minorHAnsi" w:eastAsia="Times New Roman" w:hAnsiTheme="minorHAnsi" w:cstheme="minorHAnsi"/>
          <w:color w:val="111111"/>
          <w:lang w:val="fr-FR"/>
        </w:rPr>
      </w:pPr>
      <w:r w:rsidRPr="00770599">
        <w:rPr>
          <w:rFonts w:asciiTheme="minorHAnsi" w:eastAsia="Times New Roman" w:hAnsiTheme="minorHAnsi" w:cstheme="minorHAnsi"/>
          <w:color w:val="111111"/>
          <w:lang w:val="fr-FR"/>
        </w:rPr>
        <w:t>Informations anonymisées : âge, antécédents (acné/</w:t>
      </w:r>
      <w:proofErr w:type="spellStart"/>
      <w:r w:rsidRPr="00770599">
        <w:rPr>
          <w:rFonts w:asciiTheme="minorHAnsi" w:eastAsia="Times New Roman" w:hAnsiTheme="minorHAnsi" w:cstheme="minorHAnsi"/>
          <w:color w:val="111111"/>
          <w:lang w:val="fr-FR"/>
        </w:rPr>
        <w:t>pustulose</w:t>
      </w:r>
      <w:proofErr w:type="spellEnd"/>
      <w:r w:rsidRPr="00770599">
        <w:rPr>
          <w:rFonts w:asciiTheme="minorHAnsi" w:eastAsia="Times New Roman" w:hAnsiTheme="minorHAnsi" w:cstheme="minorHAnsi"/>
          <w:color w:val="111111"/>
          <w:lang w:val="fr-FR"/>
        </w:rPr>
        <w:t>, ostéite), traitements antérieurs, réponse au bimékizumab.</w:t>
      </w:r>
    </w:p>
    <w:p w14:paraId="4B64E61F" w14:textId="77777777" w:rsidR="00AA3C25" w:rsidRPr="00770599" w:rsidRDefault="00770599" w:rsidP="00770599">
      <w:pPr>
        <w:numPr>
          <w:ilvl w:val="1"/>
          <w:numId w:val="2"/>
        </w:numPr>
        <w:spacing w:before="100" w:beforeAutospacing="1" w:after="100" w:afterAutospacing="1"/>
        <w:jc w:val="both"/>
        <w:divId w:val="1557158414"/>
        <w:rPr>
          <w:rFonts w:asciiTheme="minorHAnsi" w:eastAsia="Times New Roman" w:hAnsiTheme="minorHAnsi" w:cstheme="minorHAnsi"/>
          <w:color w:val="111111"/>
          <w:lang w:val="fr-FR"/>
        </w:rPr>
      </w:pPr>
      <w:r w:rsidRPr="00770599">
        <w:rPr>
          <w:rFonts w:asciiTheme="minorHAnsi" w:eastAsia="Times New Roman" w:hAnsiTheme="minorHAnsi" w:cstheme="minorHAnsi"/>
          <w:color w:val="111111"/>
          <w:lang w:val="fr-FR"/>
        </w:rPr>
        <w:t>Évolution clinique : douleur, fonction articulaire, imagerie ostéo-articulaire (IRM, TEP-CT, etc.), manifestations cutanées.</w:t>
      </w:r>
    </w:p>
    <w:p w14:paraId="78DD1198" w14:textId="77777777" w:rsidR="00AA3C25" w:rsidRPr="00770599" w:rsidRDefault="00770599" w:rsidP="00770599">
      <w:pPr>
        <w:numPr>
          <w:ilvl w:val="1"/>
          <w:numId w:val="2"/>
        </w:numPr>
        <w:spacing w:before="100" w:beforeAutospacing="1" w:after="100" w:afterAutospacing="1"/>
        <w:jc w:val="both"/>
        <w:divId w:val="1557158414"/>
        <w:rPr>
          <w:rFonts w:asciiTheme="minorHAnsi" w:eastAsia="Times New Roman" w:hAnsiTheme="minorHAnsi" w:cstheme="minorHAnsi"/>
          <w:color w:val="111111"/>
          <w:lang w:val="fr-FR"/>
        </w:rPr>
      </w:pPr>
      <w:r w:rsidRPr="00770599">
        <w:rPr>
          <w:rFonts w:asciiTheme="minorHAnsi" w:eastAsia="Times New Roman" w:hAnsiTheme="minorHAnsi" w:cstheme="minorHAnsi"/>
          <w:color w:val="111111"/>
          <w:lang w:val="fr-FR"/>
        </w:rPr>
        <w:t>Efficacité et effets indésirables (infections, candidoses, etc.).</w:t>
      </w:r>
    </w:p>
    <w:p w14:paraId="53F8E85B" w14:textId="77777777" w:rsidR="00AA3C25" w:rsidRPr="00770599" w:rsidRDefault="00770599" w:rsidP="00B34EAA">
      <w:pPr>
        <w:pStyle w:val="NormalWeb"/>
        <w:jc w:val="both"/>
        <w:divId w:val="1557158414"/>
        <w:rPr>
          <w:rFonts w:asciiTheme="minorHAnsi" w:hAnsiTheme="minorHAnsi" w:cstheme="minorHAnsi"/>
          <w:color w:val="111111"/>
        </w:rPr>
      </w:pPr>
      <w:r w:rsidRPr="00770599">
        <w:rPr>
          <w:rStyle w:val="lev"/>
          <w:rFonts w:asciiTheme="minorHAnsi" w:hAnsiTheme="minorHAnsi" w:cstheme="minorHAnsi"/>
          <w:color w:val="111111"/>
        </w:rPr>
        <w:t xml:space="preserve">Comment </w:t>
      </w:r>
      <w:proofErr w:type="spellStart"/>
      <w:r w:rsidRPr="00770599">
        <w:rPr>
          <w:rStyle w:val="lev"/>
          <w:rFonts w:asciiTheme="minorHAnsi" w:hAnsiTheme="minorHAnsi" w:cstheme="minorHAnsi"/>
          <w:color w:val="111111"/>
        </w:rPr>
        <w:t>sont-elles</w:t>
      </w:r>
      <w:proofErr w:type="spellEnd"/>
      <w:r w:rsidRPr="00770599">
        <w:rPr>
          <w:rStyle w:val="lev"/>
          <w:rFonts w:asciiTheme="minorHAnsi" w:hAnsiTheme="minorHAnsi" w:cstheme="minorHAnsi"/>
          <w:color w:val="111111"/>
        </w:rPr>
        <w:t xml:space="preserve"> </w:t>
      </w:r>
      <w:proofErr w:type="spellStart"/>
      <w:proofErr w:type="gramStart"/>
      <w:r w:rsidRPr="00770599">
        <w:rPr>
          <w:rStyle w:val="lev"/>
          <w:rFonts w:asciiTheme="minorHAnsi" w:hAnsiTheme="minorHAnsi" w:cstheme="minorHAnsi"/>
          <w:color w:val="111111"/>
        </w:rPr>
        <w:t>utilisées</w:t>
      </w:r>
      <w:proofErr w:type="spellEnd"/>
      <w:r w:rsidRPr="00770599">
        <w:rPr>
          <w:rStyle w:val="lev"/>
          <w:rFonts w:asciiTheme="minorHAnsi" w:hAnsiTheme="minorHAnsi" w:cstheme="minorHAnsi"/>
          <w:color w:val="111111"/>
        </w:rPr>
        <w:t xml:space="preserve"> ?</w:t>
      </w:r>
      <w:proofErr w:type="gramEnd"/>
    </w:p>
    <w:p w14:paraId="0EF6D9E1" w14:textId="77777777" w:rsidR="00AA3C25" w:rsidRPr="00770599" w:rsidRDefault="00770599" w:rsidP="00770599">
      <w:pPr>
        <w:numPr>
          <w:ilvl w:val="1"/>
          <w:numId w:val="2"/>
        </w:numPr>
        <w:spacing w:before="100" w:beforeAutospacing="1" w:after="100" w:afterAutospacing="1"/>
        <w:jc w:val="both"/>
        <w:divId w:val="1557158414"/>
        <w:rPr>
          <w:rFonts w:asciiTheme="minorHAnsi" w:eastAsia="Times New Roman" w:hAnsiTheme="minorHAnsi" w:cstheme="minorHAnsi"/>
          <w:color w:val="111111"/>
          <w:lang w:val="fr-FR"/>
        </w:rPr>
      </w:pPr>
      <w:r w:rsidRPr="00770599">
        <w:rPr>
          <w:rFonts w:asciiTheme="minorHAnsi" w:eastAsia="Times New Roman" w:hAnsiTheme="minorHAnsi" w:cstheme="minorHAnsi"/>
          <w:color w:val="111111"/>
          <w:lang w:val="fr-FR"/>
        </w:rPr>
        <w:t xml:space="preserve">Finalité </w:t>
      </w:r>
      <w:r w:rsidRPr="00770599">
        <w:rPr>
          <w:rStyle w:val="lev"/>
          <w:rFonts w:asciiTheme="minorHAnsi" w:eastAsia="Times New Roman" w:hAnsiTheme="minorHAnsi" w:cstheme="minorHAnsi"/>
          <w:color w:val="111111"/>
          <w:lang w:val="fr-FR"/>
        </w:rPr>
        <w:t>scientifique</w:t>
      </w:r>
      <w:r w:rsidRPr="00770599">
        <w:rPr>
          <w:rFonts w:asciiTheme="minorHAnsi" w:eastAsia="Times New Roman" w:hAnsiTheme="minorHAnsi" w:cstheme="minorHAnsi"/>
          <w:color w:val="111111"/>
          <w:lang w:val="fr-FR"/>
        </w:rPr>
        <w:t xml:space="preserve"> : publication dans une revue médicale, présentation à des congrès.</w:t>
      </w:r>
    </w:p>
    <w:p w14:paraId="2F115904" w14:textId="77777777" w:rsidR="00AA3C25" w:rsidRPr="00770599" w:rsidRDefault="00770599" w:rsidP="00770599">
      <w:pPr>
        <w:numPr>
          <w:ilvl w:val="1"/>
          <w:numId w:val="2"/>
        </w:numPr>
        <w:spacing w:before="100" w:beforeAutospacing="1" w:after="100" w:afterAutospacing="1"/>
        <w:jc w:val="both"/>
        <w:divId w:val="1557158414"/>
        <w:rPr>
          <w:rFonts w:asciiTheme="minorHAnsi" w:eastAsia="Times New Roman" w:hAnsiTheme="minorHAnsi" w:cstheme="minorHAnsi"/>
          <w:color w:val="111111"/>
        </w:rPr>
      </w:pPr>
      <w:r w:rsidRPr="00770599">
        <w:rPr>
          <w:rStyle w:val="lev"/>
          <w:rFonts w:asciiTheme="minorHAnsi" w:eastAsia="Times New Roman" w:hAnsiTheme="minorHAnsi" w:cstheme="minorHAnsi"/>
          <w:color w:val="111111"/>
        </w:rPr>
        <w:t xml:space="preserve">Pas de </w:t>
      </w:r>
      <w:proofErr w:type="spellStart"/>
      <w:r w:rsidRPr="00770599">
        <w:rPr>
          <w:rStyle w:val="lev"/>
          <w:rFonts w:asciiTheme="minorHAnsi" w:eastAsia="Times New Roman" w:hAnsiTheme="minorHAnsi" w:cstheme="minorHAnsi"/>
          <w:color w:val="111111"/>
        </w:rPr>
        <w:t>finalité</w:t>
      </w:r>
      <w:proofErr w:type="spellEnd"/>
      <w:r w:rsidRPr="00770599">
        <w:rPr>
          <w:rStyle w:val="lev"/>
          <w:rFonts w:asciiTheme="minorHAnsi" w:eastAsia="Times New Roman" w:hAnsiTheme="minorHAnsi" w:cstheme="minorHAnsi"/>
          <w:color w:val="111111"/>
        </w:rPr>
        <w:t xml:space="preserve"> </w:t>
      </w:r>
      <w:proofErr w:type="spellStart"/>
      <w:r w:rsidRPr="00770599">
        <w:rPr>
          <w:rStyle w:val="lev"/>
          <w:rFonts w:asciiTheme="minorHAnsi" w:eastAsia="Times New Roman" w:hAnsiTheme="minorHAnsi" w:cstheme="minorHAnsi"/>
          <w:color w:val="111111"/>
        </w:rPr>
        <w:t>commerciale</w:t>
      </w:r>
      <w:proofErr w:type="spellEnd"/>
      <w:r w:rsidRPr="00770599">
        <w:rPr>
          <w:rFonts w:asciiTheme="minorHAnsi" w:eastAsia="Times New Roman" w:hAnsiTheme="minorHAnsi" w:cstheme="minorHAnsi"/>
          <w:color w:val="111111"/>
        </w:rPr>
        <w:t>.</w:t>
      </w:r>
    </w:p>
    <w:p w14:paraId="4790C4D8" w14:textId="77777777" w:rsidR="00AA3C25" w:rsidRPr="00770599" w:rsidRDefault="00770599" w:rsidP="00770599">
      <w:pPr>
        <w:numPr>
          <w:ilvl w:val="1"/>
          <w:numId w:val="2"/>
        </w:numPr>
        <w:spacing w:before="100" w:beforeAutospacing="1" w:after="100" w:afterAutospacing="1"/>
        <w:jc w:val="both"/>
        <w:divId w:val="1557158414"/>
        <w:rPr>
          <w:rFonts w:asciiTheme="minorHAnsi" w:eastAsia="Times New Roman" w:hAnsiTheme="minorHAnsi" w:cstheme="minorHAnsi"/>
          <w:color w:val="111111"/>
          <w:lang w:val="fr-FR"/>
        </w:rPr>
      </w:pPr>
      <w:r w:rsidRPr="00770599">
        <w:rPr>
          <w:rFonts w:asciiTheme="minorHAnsi" w:eastAsia="Times New Roman" w:hAnsiTheme="minorHAnsi" w:cstheme="minorHAnsi"/>
          <w:color w:val="111111"/>
          <w:lang w:val="fr-FR"/>
        </w:rPr>
        <w:t xml:space="preserve">Données </w:t>
      </w:r>
      <w:r w:rsidRPr="00770599">
        <w:rPr>
          <w:rStyle w:val="lev"/>
          <w:rFonts w:asciiTheme="minorHAnsi" w:eastAsia="Times New Roman" w:hAnsiTheme="minorHAnsi" w:cstheme="minorHAnsi"/>
          <w:color w:val="111111"/>
          <w:lang w:val="fr-FR"/>
        </w:rPr>
        <w:t>anonymisées</w:t>
      </w:r>
      <w:r w:rsidRPr="00770599">
        <w:rPr>
          <w:rFonts w:asciiTheme="minorHAnsi" w:eastAsia="Times New Roman" w:hAnsiTheme="minorHAnsi" w:cstheme="minorHAnsi"/>
          <w:color w:val="111111"/>
          <w:lang w:val="fr-FR"/>
        </w:rPr>
        <w:t xml:space="preserve"> (aucun renseignement permettant de vous identifier ne sera conservé).</w:t>
      </w:r>
    </w:p>
    <w:p w14:paraId="17DC7CDF" w14:textId="77777777" w:rsidR="00770599" w:rsidRPr="005A35CF" w:rsidRDefault="00770599" w:rsidP="00770599">
      <w:pPr>
        <w:pStyle w:val="Titre3"/>
        <w:jc w:val="both"/>
        <w:divId w:val="1557158414"/>
        <w:rPr>
          <w:rStyle w:val="lev"/>
          <w:rFonts w:asciiTheme="minorHAnsi" w:eastAsia="Times New Roman" w:hAnsiTheme="minorHAnsi" w:cstheme="minorHAnsi"/>
          <w:b/>
          <w:bCs/>
          <w:color w:val="111111"/>
          <w:sz w:val="24"/>
          <w:szCs w:val="24"/>
          <w:lang w:val="fr-FR"/>
        </w:rPr>
      </w:pPr>
    </w:p>
    <w:p w14:paraId="3C34C88E" w14:textId="77777777" w:rsidR="00AA3C25" w:rsidRPr="00770599" w:rsidRDefault="00770599" w:rsidP="00770599">
      <w:pPr>
        <w:pStyle w:val="Titre3"/>
        <w:jc w:val="both"/>
        <w:divId w:val="1557158414"/>
        <w:rPr>
          <w:rFonts w:asciiTheme="minorHAnsi" w:eastAsia="Times New Roman" w:hAnsiTheme="minorHAnsi" w:cstheme="minorHAnsi"/>
          <w:color w:val="111111"/>
          <w:sz w:val="24"/>
          <w:szCs w:val="24"/>
          <w:lang w:val="fr-FR"/>
        </w:rPr>
      </w:pPr>
      <w:r w:rsidRPr="00770599">
        <w:rPr>
          <w:rStyle w:val="lev"/>
          <w:rFonts w:asciiTheme="minorHAnsi" w:eastAsia="Times New Roman" w:hAnsiTheme="minorHAnsi" w:cstheme="minorHAnsi"/>
          <w:b/>
          <w:bCs/>
          <w:color w:val="111111"/>
          <w:sz w:val="24"/>
          <w:szCs w:val="24"/>
          <w:lang w:val="fr-FR"/>
        </w:rPr>
        <w:t>Durée de conservation</w:t>
      </w:r>
    </w:p>
    <w:p w14:paraId="3F9B9398" w14:textId="2410CFBA" w:rsidR="00AA3C25" w:rsidRPr="00770599" w:rsidRDefault="00770599">
      <w:pPr>
        <w:pStyle w:val="NormalWeb"/>
        <w:jc w:val="both"/>
        <w:divId w:val="1557158414"/>
        <w:rPr>
          <w:rFonts w:asciiTheme="minorHAnsi" w:hAnsiTheme="minorHAnsi" w:cstheme="minorHAnsi"/>
          <w:color w:val="111111"/>
          <w:lang w:val="fr-FR"/>
        </w:rPr>
      </w:pPr>
      <w:r w:rsidRPr="00770599">
        <w:rPr>
          <w:rFonts w:asciiTheme="minorHAnsi" w:hAnsiTheme="minorHAnsi" w:cstheme="minorHAnsi"/>
          <w:color w:val="111111"/>
          <w:lang w:val="fr-FR"/>
        </w:rPr>
        <w:t xml:space="preserve">Les données anonymisées seront conservées </w:t>
      </w:r>
      <w:r w:rsidRPr="00770599">
        <w:rPr>
          <w:rStyle w:val="lev"/>
          <w:rFonts w:asciiTheme="minorHAnsi" w:hAnsiTheme="minorHAnsi" w:cstheme="minorHAnsi"/>
          <w:color w:val="111111"/>
          <w:lang w:val="fr-FR"/>
        </w:rPr>
        <w:t>10 ans</w:t>
      </w:r>
      <w:r w:rsidRPr="00770599">
        <w:rPr>
          <w:rFonts w:asciiTheme="minorHAnsi" w:hAnsiTheme="minorHAnsi" w:cstheme="minorHAnsi"/>
          <w:color w:val="111111"/>
          <w:lang w:val="fr-FR"/>
        </w:rPr>
        <w:t xml:space="preserve"> après la publication des résultats, conformément aux réglementations en vigueur (RGPD).</w:t>
      </w:r>
    </w:p>
    <w:sectPr w:rsidR="00AA3C25" w:rsidRPr="0077059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B29AC"/>
    <w:multiLevelType w:val="multilevel"/>
    <w:tmpl w:val="AE428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17BDA"/>
    <w:multiLevelType w:val="multilevel"/>
    <w:tmpl w:val="3638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46EA9"/>
    <w:multiLevelType w:val="multilevel"/>
    <w:tmpl w:val="305ED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B565A2"/>
    <w:multiLevelType w:val="multilevel"/>
    <w:tmpl w:val="7EB2E580"/>
    <w:lvl w:ilvl="0">
      <w:start w:val="1"/>
      <w:numFmt w:val="bullet"/>
      <w:lvlText w:val=""/>
      <w:lvlJc w:val="left"/>
      <w:pPr>
        <w:tabs>
          <w:tab w:val="num" w:pos="360"/>
        </w:tabs>
        <w:ind w:left="360" w:hanging="360"/>
      </w:pPr>
      <w:rPr>
        <w:rFonts w:ascii="Symbol" w:hAnsi="Symbol" w:hint="default"/>
        <w:sz w:val="20"/>
      </w:rPr>
    </w:lvl>
    <w:lvl w:ilvl="1">
      <w:start w:val="1"/>
      <w:numFmt w:val="bullet"/>
      <w:lvlText w:val="c"/>
      <w:lvlJc w:val="left"/>
      <w:pPr>
        <w:tabs>
          <w:tab w:val="num" w:pos="1080"/>
        </w:tabs>
        <w:ind w:left="1080" w:hanging="360"/>
      </w:pPr>
      <w:rPr>
        <w:rFonts w:ascii="Webdings" w:hAnsi="Web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6DEF419A"/>
    <w:multiLevelType w:val="multilevel"/>
    <w:tmpl w:val="054204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599"/>
    <w:rsid w:val="003F52B0"/>
    <w:rsid w:val="005A35CF"/>
    <w:rsid w:val="005F596E"/>
    <w:rsid w:val="00770599"/>
    <w:rsid w:val="00AA3C25"/>
    <w:rsid w:val="00B34E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29232"/>
  <w15:chartTrackingRefBased/>
  <w15:docId w15:val="{756D92D8-8194-4B21-8EF3-0F7EC62F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itre1">
    <w:name w:val="heading 1"/>
    <w:basedOn w:val="Normal"/>
    <w:link w:val="Titre1Car"/>
    <w:uiPriority w:val="9"/>
    <w:qFormat/>
    <w:pPr>
      <w:spacing w:before="270" w:after="120"/>
      <w:outlineLvl w:val="0"/>
    </w:pPr>
    <w:rPr>
      <w:b/>
      <w:bCs/>
      <w:kern w:val="36"/>
      <w:sz w:val="40"/>
      <w:szCs w:val="40"/>
    </w:rPr>
  </w:style>
  <w:style w:type="paragraph" w:styleId="Titre2">
    <w:name w:val="heading 2"/>
    <w:basedOn w:val="Normal"/>
    <w:link w:val="Titre2Car"/>
    <w:uiPriority w:val="9"/>
    <w:qFormat/>
    <w:pPr>
      <w:spacing w:before="240" w:after="120"/>
      <w:outlineLvl w:val="1"/>
    </w:pPr>
    <w:rPr>
      <w:b/>
      <w:bCs/>
      <w:sz w:val="32"/>
      <w:szCs w:val="32"/>
    </w:rPr>
  </w:style>
  <w:style w:type="paragraph" w:styleId="Titre3">
    <w:name w:val="heading 3"/>
    <w:basedOn w:val="Normal"/>
    <w:link w:val="Titre3Car"/>
    <w:uiPriority w:val="9"/>
    <w:qFormat/>
    <w:pPr>
      <w:spacing w:before="210" w:after="90"/>
      <w:outlineLvl w:val="2"/>
    </w:pPr>
    <w:rPr>
      <w:b/>
      <w:bCs/>
      <w:sz w:val="28"/>
      <w:szCs w:val="28"/>
    </w:rPr>
  </w:style>
  <w:style w:type="paragraph" w:styleId="Titre4">
    <w:name w:val="heading 4"/>
    <w:basedOn w:val="Normal"/>
    <w:link w:val="Titre4Car"/>
    <w:uiPriority w:val="9"/>
    <w:qFormat/>
    <w:pPr>
      <w:spacing w:before="180" w:after="90"/>
      <w:outlineLvl w:val="3"/>
    </w:pPr>
    <w:rPr>
      <w:b/>
      <w:bCs/>
    </w:rPr>
  </w:style>
  <w:style w:type="paragraph" w:styleId="Titre5">
    <w:name w:val="heading 5"/>
    <w:basedOn w:val="Normal"/>
    <w:link w:val="Titre5Car"/>
    <w:uiPriority w:val="9"/>
    <w:qFormat/>
    <w:pPr>
      <w:spacing w:before="180" w:after="90"/>
      <w:outlineLvl w:val="4"/>
    </w:pPr>
    <w:rPr>
      <w:b/>
      <w:bCs/>
      <w:sz w:val="20"/>
      <w:szCs w:val="20"/>
    </w:rPr>
  </w:style>
  <w:style w:type="paragraph" w:styleId="Titre6">
    <w:name w:val="heading 6"/>
    <w:basedOn w:val="Normal"/>
    <w:link w:val="Titre6Car"/>
    <w:uiPriority w:val="9"/>
    <w:qFormat/>
    <w:pPr>
      <w:spacing w:before="180" w:after="90"/>
      <w:outlineLvl w:val="5"/>
    </w:pPr>
    <w:rPr>
      <w:b/>
      <w:b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1A0DAB"/>
      <w:u w:val="single"/>
    </w:rPr>
  </w:style>
  <w:style w:type="character" w:styleId="Lienhypertextesuivivisit">
    <w:name w:val="FollowedHyperlink"/>
    <w:basedOn w:val="Policepardfaut"/>
    <w:uiPriority w:val="99"/>
    <w:semiHidden/>
    <w:unhideWhenUsed/>
    <w:rPr>
      <w:color w:val="1A0DAB"/>
      <w:u w:val="single"/>
    </w:rPr>
  </w:style>
  <w:style w:type="character" w:styleId="CodeHTML">
    <w:name w:val="HTML Code"/>
    <w:basedOn w:val="Policepardfaut"/>
    <w:uiPriority w:val="99"/>
    <w:semiHidden/>
    <w:unhideWhenUsed/>
    <w:rPr>
      <w:rFonts w:ascii="Consolas" w:eastAsiaTheme="minorEastAsia" w:hAnsi="Consolas" w:cs="Courier New" w:hint="default"/>
      <w:sz w:val="20"/>
      <w:szCs w:val="20"/>
      <w:shd w:val="clear" w:color="auto" w:fill="F6F8FA"/>
    </w:rPr>
  </w:style>
  <w:style w:type="character" w:customStyle="1" w:styleId="Titre1Car">
    <w:name w:val="Titre 1 Car"/>
    <w:basedOn w:val="Policepardfaut"/>
    <w:link w:val="Titre1"/>
    <w:uiPriority w:val="9"/>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Pr>
      <w:rFonts w:asciiTheme="majorHAnsi" w:eastAsiaTheme="majorEastAsia" w:hAnsiTheme="majorHAnsi" w:cstheme="majorBidi"/>
      <w:i/>
      <w:iCs/>
      <w:color w:val="2E74B5" w:themeColor="accent1" w:themeShade="BF"/>
      <w:sz w:val="24"/>
      <w:szCs w:val="24"/>
    </w:rPr>
  </w:style>
  <w:style w:type="character" w:customStyle="1" w:styleId="Titre5Car">
    <w:name w:val="Titre 5 Car"/>
    <w:basedOn w:val="Policepardfaut"/>
    <w:link w:val="Titre5"/>
    <w:uiPriority w:val="9"/>
    <w:semiHidden/>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Pr>
      <w:rFonts w:asciiTheme="majorHAnsi" w:eastAsiaTheme="majorEastAsia" w:hAnsiTheme="majorHAnsi" w:cstheme="majorBidi"/>
      <w:color w:val="1F4D78" w:themeColor="accent1" w:themeShade="7F"/>
      <w:sz w:val="24"/>
      <w:szCs w:val="24"/>
    </w:rPr>
  </w:style>
  <w:style w:type="paragraph" w:styleId="PrformatHTML">
    <w:name w:val="HTML Preformatted"/>
    <w:basedOn w:val="Normal"/>
    <w:link w:val="PrformatHTMLCar"/>
    <w:uiPriority w:val="99"/>
    <w:semiHidden/>
    <w:unhideWhenUsed/>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Pr>
      <w:rFonts w:ascii="Consolas" w:eastAsiaTheme="minorEastAsia" w:hAnsi="Consolas"/>
    </w:rPr>
  </w:style>
  <w:style w:type="paragraph" w:customStyle="1" w:styleId="msonormal0">
    <w:name w:val="msonormal"/>
    <w:basedOn w:val="Normal"/>
    <w:pPr>
      <w:spacing w:before="120" w:after="120"/>
    </w:pPr>
  </w:style>
  <w:style w:type="paragraph" w:styleId="NormalWeb">
    <w:name w:val="Normal (Web)"/>
    <w:basedOn w:val="Normal"/>
    <w:uiPriority w:val="99"/>
    <w:unhideWhenUsed/>
    <w:pPr>
      <w:spacing w:before="120" w:after="120"/>
    </w:p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Rvision">
    <w:name w:val="Revision"/>
    <w:hidden/>
    <w:uiPriority w:val="99"/>
    <w:semiHidden/>
    <w:rsid w:val="005A35CF"/>
    <w:rPr>
      <w:rFonts w:eastAsiaTheme="minorEastAsia"/>
      <w:sz w:val="24"/>
      <w:szCs w:val="24"/>
    </w:rPr>
  </w:style>
  <w:style w:type="paragraph" w:styleId="Textedebulles">
    <w:name w:val="Balloon Text"/>
    <w:basedOn w:val="Normal"/>
    <w:link w:val="TextedebullesCar"/>
    <w:uiPriority w:val="99"/>
    <w:semiHidden/>
    <w:unhideWhenUsed/>
    <w:rsid w:val="003F52B0"/>
    <w:rPr>
      <w:rFonts w:ascii="Segoe UI" w:hAnsi="Segoe UI" w:cs="Segoe UI"/>
      <w:sz w:val="18"/>
      <w:szCs w:val="18"/>
    </w:rPr>
  </w:style>
  <w:style w:type="character" w:customStyle="1" w:styleId="TextedebullesCar">
    <w:name w:val="Texte de bulles Car"/>
    <w:basedOn w:val="Policepardfaut"/>
    <w:link w:val="Textedebulles"/>
    <w:uiPriority w:val="99"/>
    <w:semiHidden/>
    <w:rsid w:val="003F52B0"/>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158414">
      <w:marLeft w:val="0"/>
      <w:marRight w:val="0"/>
      <w:marTop w:val="0"/>
      <w:marBottom w:val="0"/>
      <w:divBdr>
        <w:top w:val="none" w:sz="0" w:space="0" w:color="auto"/>
        <w:left w:val="none" w:sz="0" w:space="0" w:color="auto"/>
        <w:bottom w:val="none" w:sz="0" w:space="0" w:color="auto"/>
        <w:right w:val="none" w:sz="0" w:space="0" w:color="auto"/>
      </w:divBdr>
      <w:divsChild>
        <w:div w:id="18722576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naud.felten@chru-strasbourg.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2470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collapsiblePatientHandout</vt:lpstr>
    </vt:vector>
  </TitlesOfParts>
  <Company>HUS</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collapsiblePatientHandout</dc:title>
  <dc:subject/>
  <dc:creator>FELTEN Renaud</dc:creator>
  <cp:keywords/>
  <dc:description/>
  <cp:lastModifiedBy>NOCTURNE Gaetane</cp:lastModifiedBy>
  <cp:revision>3</cp:revision>
  <dcterms:created xsi:type="dcterms:W3CDTF">2026-01-07T15:54:00Z</dcterms:created>
  <dcterms:modified xsi:type="dcterms:W3CDTF">2026-05-11T07:18:00Z</dcterms:modified>
</cp:coreProperties>
</file>